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639"/>
        </w:tabs>
        <w:spacing w:beforeLines="0" w:after="120" w:line="240" w:lineRule="auto"/>
        <w:ind w:right="2"/>
        <w:rPr>
          <w:rFonts w:ascii="Arial" w:hAnsi="Arial" w:cs="Arial"/>
          <w:b/>
          <w:bCs/>
          <w:sz w:val="22"/>
          <w:szCs w:val="22"/>
        </w:rPr>
      </w:pPr>
      <w:bookmarkStart w:id="123" w:name="_GoBack"/>
      <w:bookmarkEnd w:id="123"/>
      <w:r>
        <w:rPr>
          <w:rFonts w:ascii="Arial" w:hAnsi="Arial" w:cs="Arial"/>
          <w:b/>
          <w:bCs/>
          <w:sz w:val="22"/>
          <w:szCs w:val="22"/>
        </w:rPr>
        <w:t xml:space="preserve">3GPP TSG RAN WG1 </w:t>
      </w:r>
      <w:r>
        <w:rPr>
          <w:rFonts w:hint="eastAsia" w:ascii="Arial" w:hAnsi="Arial" w:cs="Arial"/>
          <w:b/>
          <w:bCs/>
          <w:sz w:val="22"/>
          <w:szCs w:val="22"/>
        </w:rPr>
        <w:t>#104</w:t>
      </w:r>
      <w:r>
        <w:rPr>
          <w:rFonts w:ascii="Arial" w:hAnsi="Arial" w:cs="Arial"/>
          <w:b/>
          <w:bCs/>
          <w:sz w:val="22"/>
          <w:szCs w:val="22"/>
        </w:rPr>
        <w:t>-e</w:t>
      </w:r>
      <w:r>
        <w:rPr>
          <w:rFonts w:ascii="Arial" w:hAnsi="Arial" w:cs="Arial"/>
          <w:b/>
          <w:bCs/>
          <w:sz w:val="22"/>
          <w:szCs w:val="22"/>
        </w:rPr>
        <w:tab/>
      </w:r>
      <w:r>
        <w:rPr>
          <w:rFonts w:hint="eastAsia" w:ascii="Arial" w:hAnsi="Arial" w:cs="Arial"/>
          <w:b/>
          <w:bCs/>
          <w:sz w:val="22"/>
          <w:szCs w:val="22"/>
        </w:rPr>
        <w:t xml:space="preserve">                                                  R1-2100959</w:t>
      </w:r>
    </w:p>
    <w:p>
      <w:pPr>
        <w:tabs>
          <w:tab w:val="center" w:pos="4536"/>
          <w:tab w:val="right" w:pos="9639"/>
        </w:tabs>
        <w:spacing w:beforeLines="0" w:after="120" w:line="240" w:lineRule="auto"/>
        <w:ind w:right="2"/>
        <w:rPr>
          <w:rFonts w:ascii="Arial" w:hAnsi="Arial" w:cs="Arial"/>
          <w:b/>
          <w:bCs/>
          <w:sz w:val="22"/>
          <w:szCs w:val="22"/>
        </w:rPr>
      </w:pPr>
      <w:r>
        <w:rPr>
          <w:rFonts w:ascii="Arial" w:hAnsi="Arial" w:eastAsia="MS Mincho" w:cs="Arial"/>
          <w:b/>
          <w:bCs/>
          <w:sz w:val="22"/>
          <w:szCs w:val="22"/>
          <w:lang w:eastAsia="ja-JP"/>
        </w:rPr>
        <w:t>e-Meeting, January 25</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xml:space="preserve"> – February 5</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2021</w:t>
      </w:r>
    </w:p>
    <w:p>
      <w:pPr>
        <w:tabs>
          <w:tab w:val="left" w:pos="1985"/>
        </w:tabs>
        <w:spacing w:before="240"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hint="eastAsia" w:ascii="Arial" w:hAnsi="Arial"/>
          <w:b/>
          <w:sz w:val="22"/>
          <w:szCs w:val="22"/>
        </w:rPr>
        <w:t>Enhancements for simultaneous operation of child and parent links</w:t>
      </w:r>
    </w:p>
    <w:p>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b/>
          <w:sz w:val="22"/>
          <w:szCs w:val="22"/>
        </w:rPr>
        <w:t>ZTE, Sanechips</w:t>
      </w:r>
    </w:p>
    <w:p>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hint="eastAsia" w:ascii="Arial" w:hAnsi="Arial"/>
          <w:b/>
          <w:sz w:val="22"/>
          <w:szCs w:val="22"/>
        </w:rPr>
        <w:t>8.10.2</w:t>
      </w:r>
    </w:p>
    <w:p>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hint="eastAsia" w:ascii="Arial" w:hAnsi="Arial"/>
          <w:b/>
          <w:sz w:val="22"/>
          <w:szCs w:val="22"/>
        </w:rPr>
        <w:t>Discussion</w:t>
      </w:r>
      <w:r>
        <w:rPr>
          <w:rFonts w:ascii="Arial" w:hAnsi="Arial"/>
          <w:b/>
          <w:sz w:val="22"/>
          <w:szCs w:val="22"/>
        </w:rPr>
        <w:t xml:space="preserve"> and decision</w:t>
      </w:r>
    </w:p>
    <w:p>
      <w:pPr>
        <w:pStyle w:val="2"/>
        <w:spacing w:before="120" w:after="120"/>
        <w:ind w:left="0"/>
        <w:rPr>
          <w:rFonts w:eastAsia="宋体"/>
        </w:rPr>
      </w:pPr>
      <w:r>
        <w:rPr>
          <w:rFonts w:hint="eastAsia" w:eastAsia="宋体"/>
        </w:rPr>
        <w:t>Introduction</w:t>
      </w:r>
    </w:p>
    <w:p>
      <w:pPr>
        <w:spacing w:before="120" w:after="120"/>
        <w:rPr>
          <w:sz w:val="20"/>
        </w:rPr>
      </w:pPr>
      <w:r>
        <w:rPr>
          <w:rFonts w:hint="eastAsia"/>
          <w:sz w:val="20"/>
        </w:rPr>
        <w:t>I</w:t>
      </w:r>
      <w:r>
        <w:rPr>
          <w:sz w:val="20"/>
        </w:rPr>
        <w:t>n order to support simultaneous operation</w:t>
      </w:r>
      <w:r>
        <w:rPr>
          <w:rFonts w:hint="eastAsia"/>
          <w:sz w:val="20"/>
        </w:rPr>
        <w:t xml:space="preserve"> </w:t>
      </w:r>
      <w:r>
        <w:rPr>
          <w:sz w:val="20"/>
        </w:rPr>
        <w:t>by IAB-node’s child and parent links</w:t>
      </w:r>
      <w:r>
        <w:rPr>
          <w:rFonts w:hint="eastAsia"/>
          <w:sz w:val="20"/>
        </w:rPr>
        <w:t>, some enhancements</w:t>
      </w:r>
      <w:r>
        <w:rPr>
          <w:sz w:val="20"/>
        </w:rPr>
        <w:t xml:space="preserve"> such as</w:t>
      </w:r>
      <w:r>
        <w:rPr>
          <w:rFonts w:hint="eastAsia"/>
          <w:sz w:val="20"/>
        </w:rPr>
        <w:t xml:space="preserve"> </w:t>
      </w:r>
      <w:r>
        <w:rPr>
          <w:sz w:val="20"/>
        </w:rPr>
        <w:t>IAB-node timing, DL/UL power control</w:t>
      </w:r>
      <w:r>
        <w:rPr>
          <w:rFonts w:hint="eastAsia"/>
          <w:sz w:val="20"/>
        </w:rPr>
        <w:t>/sharing</w:t>
      </w:r>
      <w:r>
        <w:rPr>
          <w:sz w:val="20"/>
        </w:rPr>
        <w:t>,</w:t>
      </w:r>
      <w:r>
        <w:rPr>
          <w:rFonts w:hint="eastAsia"/>
          <w:sz w:val="20"/>
        </w:rPr>
        <w:t xml:space="preserve"> </w:t>
      </w:r>
      <w:r>
        <w:rPr>
          <w:sz w:val="20"/>
        </w:rPr>
        <w:t>and CLI and interference measurements</w:t>
      </w:r>
      <w:r>
        <w:rPr>
          <w:rFonts w:hint="eastAsia"/>
          <w:sz w:val="20"/>
        </w:rPr>
        <w:t xml:space="preserve"> were discussed. In this contribution, more views on these three aspects are provided.</w:t>
      </w:r>
    </w:p>
    <w:p>
      <w:pPr>
        <w:spacing w:before="120" w:after="120"/>
        <w:rPr>
          <w:sz w:val="20"/>
        </w:rPr>
      </w:pPr>
    </w:p>
    <w:p>
      <w:pPr>
        <w:pStyle w:val="2"/>
        <w:keepNext w:val="0"/>
        <w:keepLines w:val="0"/>
        <w:widowControl w:val="0"/>
        <w:pBdr>
          <w:top w:val="none" w:color="auto" w:sz="0" w:space="0"/>
        </w:pBdr>
        <w:snapToGrid w:val="0"/>
        <w:spacing w:before="120" w:after="120" w:line="240" w:lineRule="auto"/>
        <w:ind w:left="431" w:hanging="431"/>
        <w:jc w:val="left"/>
      </w:pPr>
      <w:r>
        <w:rPr>
          <w:rFonts w:hint="eastAsia" w:eastAsia="黑体"/>
          <w:szCs w:val="30"/>
        </w:rPr>
        <w:t>Enhancements for simultaneous operation</w:t>
      </w:r>
    </w:p>
    <w:p>
      <w:pPr>
        <w:pStyle w:val="4"/>
        <w:spacing w:before="120" w:after="120"/>
        <w:ind w:right="210"/>
        <w:rPr>
          <w:rFonts w:ascii="Arial" w:hAnsi="Arial" w:cs="Arial"/>
        </w:rPr>
      </w:pPr>
      <w:r>
        <w:rPr>
          <w:rFonts w:hint="eastAsia" w:ascii="Arial" w:hAnsi="Arial" w:cs="Arial"/>
        </w:rPr>
        <w:t>2.1 T</w:t>
      </w:r>
      <w:r>
        <w:rPr>
          <w:rFonts w:ascii="Arial" w:hAnsi="Arial" w:cs="Arial"/>
        </w:rPr>
        <w:t>iming cases for simultaneous operation</w:t>
      </w:r>
    </w:p>
    <w:p>
      <w:pPr>
        <w:spacing w:before="120" w:after="120"/>
        <w:rPr>
          <w:sz w:val="20"/>
        </w:rPr>
      </w:pPr>
      <w:r>
        <w:rPr>
          <w:rFonts w:hint="eastAsia"/>
          <w:sz w:val="20"/>
        </w:rPr>
        <w:t>In RAN1#102-e and RAN1#103-e meetings, the following agreements</w:t>
      </w:r>
      <w:r>
        <w:rPr>
          <w:sz w:val="20"/>
        </w:rPr>
        <w:t xml:space="preserve"> </w:t>
      </w:r>
      <w:r>
        <w:rPr>
          <w:rFonts w:hint="eastAsia"/>
          <w:sz w:val="20"/>
        </w:rPr>
        <w:t>on timing cases for simultaneous operation were achieved.</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sz w:val="20"/>
                <w:highlight w:val="green"/>
              </w:rPr>
            </w:pPr>
            <w:r>
              <w:rPr>
                <w:rFonts w:hint="eastAsia"/>
                <w:sz w:val="20"/>
              </w:rPr>
              <w:t xml:space="preserve">Agreements of </w:t>
            </w:r>
            <w:r>
              <w:rPr>
                <w:sz w:val="20"/>
              </w:rPr>
              <w:t>RAN1 #</w:t>
            </w:r>
            <w:r>
              <w:rPr>
                <w:rFonts w:hint="eastAsia"/>
                <w:sz w:val="20"/>
              </w:rPr>
              <w:t>102-e[1]</w:t>
            </w:r>
          </w:p>
          <w:p>
            <w:pPr>
              <w:widowControl w:val="0"/>
              <w:spacing w:before="120" w:after="120"/>
              <w:rPr>
                <w:b/>
                <w:bCs/>
                <w:sz w:val="20"/>
                <w:lang w:eastAsia="en-US"/>
              </w:rPr>
            </w:pPr>
            <w:r>
              <w:rPr>
                <w:sz w:val="20"/>
                <w:highlight w:val="green"/>
              </w:rPr>
              <w:t>Agreement</w:t>
            </w:r>
            <w:r>
              <w:rPr>
                <w:sz w:val="20"/>
              </w:rPr>
              <w:t>:</w:t>
            </w:r>
          </w:p>
          <w:p>
            <w:pPr>
              <w:widowControl w:val="0"/>
              <w:numPr>
                <w:ilvl w:val="0"/>
                <w:numId w:val="8"/>
              </w:numPr>
              <w:spacing w:before="120" w:after="120"/>
              <w:rPr>
                <w:sz w:val="20"/>
              </w:rPr>
            </w:pPr>
            <w:r>
              <w:rPr>
                <w:sz w:val="20"/>
              </w:rPr>
              <w:t>Case 7 timing is supported in Rel-17 for IAB-nodes operating in multiplexing scenario Case 2 (simultaneous MT-Rx/DU-Rx)</w:t>
            </w:r>
          </w:p>
          <w:p>
            <w:pPr>
              <w:widowControl w:val="0"/>
              <w:numPr>
                <w:ilvl w:val="0"/>
                <w:numId w:val="9"/>
              </w:numPr>
              <w:spacing w:before="120" w:after="120"/>
              <w:rPr>
                <w:sz w:val="20"/>
              </w:rPr>
            </w:pPr>
            <w:r>
              <w:rPr>
                <w:sz w:val="20"/>
              </w:rPr>
              <w:t>Case 6 timing is supported in Rel-17 for IAB-nodes operating in multiplexing scenario Case 1 (simultaneous MT-Tx/DU-Tx)</w:t>
            </w:r>
          </w:p>
          <w:p>
            <w:pPr>
              <w:widowControl w:val="0"/>
              <w:numPr>
                <w:ilvl w:val="1"/>
                <w:numId w:val="9"/>
              </w:numPr>
              <w:spacing w:before="120" w:after="120"/>
              <w:rPr>
                <w:sz w:val="20"/>
              </w:rPr>
            </w:pPr>
            <w:r>
              <w:rPr>
                <w:sz w:val="20"/>
              </w:rPr>
              <w:t>RAN1 should strive to minimize specification impact due to this feature</w:t>
            </w:r>
          </w:p>
          <w:p>
            <w:pPr>
              <w:widowControl w:val="0"/>
              <w:numPr>
                <w:ilvl w:val="0"/>
                <w:numId w:val="9"/>
              </w:numPr>
              <w:spacing w:before="120" w:after="120"/>
              <w:rPr>
                <w:sz w:val="20"/>
              </w:rPr>
            </w:pPr>
            <w:r>
              <w:rPr>
                <w:sz w:val="20"/>
              </w:rPr>
              <w:t>FFS: Whether Case 7 timing is supported in Rel-17 for IAB-nodes operating in multiplexing scenario Case 4 (simultaneous MT-Tx/DU-Rx)</w:t>
            </w:r>
          </w:p>
          <w:p>
            <w:pPr>
              <w:widowControl w:val="0"/>
              <w:spacing w:before="120" w:after="120"/>
              <w:rPr>
                <w:rFonts w:eastAsia="Calibri" w:cs="Times"/>
                <w:sz w:val="20"/>
                <w:highlight w:val="green"/>
              </w:rPr>
            </w:pPr>
            <w:r>
              <w:rPr>
                <w:rFonts w:eastAsia="Calibri" w:cs="Times"/>
                <w:sz w:val="20"/>
                <w:highlight w:val="green"/>
              </w:rPr>
              <w:t>Agreement</w:t>
            </w:r>
          </w:p>
          <w:p>
            <w:pPr>
              <w:pStyle w:val="32"/>
              <w:widowControl w:val="0"/>
              <w:numPr>
                <w:ilvl w:val="0"/>
                <w:numId w:val="10"/>
              </w:numPr>
              <w:spacing w:after="120"/>
              <w:rPr>
                <w:rFonts w:eastAsia="Calibri" w:cs="Times"/>
                <w:sz w:val="20"/>
                <w:szCs w:val="20"/>
              </w:rPr>
            </w:pPr>
            <w:r>
              <w:rPr>
                <w:rFonts w:eastAsia="Calibri" w:cs="Times"/>
                <w:sz w:val="20"/>
                <w:szCs w:val="20"/>
              </w:rPr>
              <w:t>Based on the WID, the following multiplexing cases are in scope for potential support in Rel-17:</w:t>
            </w:r>
          </w:p>
          <w:p>
            <w:pPr>
              <w:pStyle w:val="32"/>
              <w:widowControl w:val="0"/>
              <w:numPr>
                <w:ilvl w:val="1"/>
                <w:numId w:val="10"/>
              </w:numPr>
              <w:spacing w:after="120"/>
              <w:rPr>
                <w:rFonts w:eastAsia="Batang" w:cs="Times"/>
                <w:color w:val="000000"/>
                <w:sz w:val="20"/>
                <w:szCs w:val="20"/>
              </w:rPr>
            </w:pPr>
            <w:r>
              <w:rPr>
                <w:rFonts w:cs="Times"/>
                <w:color w:val="000000"/>
                <w:sz w:val="20"/>
                <w:szCs w:val="20"/>
              </w:rPr>
              <w:t xml:space="preserve">Multiplexing Case A: Simultaneous MT-Tx/DU-Tx </w:t>
            </w:r>
          </w:p>
          <w:p>
            <w:pPr>
              <w:pStyle w:val="32"/>
              <w:widowControl w:val="0"/>
              <w:numPr>
                <w:ilvl w:val="1"/>
                <w:numId w:val="10"/>
              </w:numPr>
              <w:spacing w:after="120"/>
              <w:rPr>
                <w:rFonts w:cs="Times"/>
                <w:color w:val="000000"/>
                <w:sz w:val="20"/>
                <w:szCs w:val="20"/>
              </w:rPr>
            </w:pPr>
            <w:r>
              <w:rPr>
                <w:rFonts w:cs="Times"/>
                <w:color w:val="000000"/>
                <w:sz w:val="20"/>
                <w:szCs w:val="20"/>
              </w:rPr>
              <w:t xml:space="preserve">Multiplexing Case B: Simultaneous MT-Rx/DU-Rx </w:t>
            </w:r>
          </w:p>
          <w:p>
            <w:pPr>
              <w:pStyle w:val="32"/>
              <w:widowControl w:val="0"/>
              <w:numPr>
                <w:ilvl w:val="1"/>
                <w:numId w:val="10"/>
              </w:numPr>
              <w:spacing w:after="120"/>
              <w:rPr>
                <w:rFonts w:cs="Times"/>
                <w:color w:val="000000"/>
                <w:sz w:val="20"/>
                <w:szCs w:val="20"/>
              </w:rPr>
            </w:pPr>
            <w:r>
              <w:rPr>
                <w:rFonts w:cs="Times"/>
                <w:color w:val="000000"/>
                <w:sz w:val="20"/>
                <w:szCs w:val="20"/>
              </w:rPr>
              <w:t xml:space="preserve">Multiplexing Case C: Simultaneous MT-Rx/DU-Tx </w:t>
            </w:r>
          </w:p>
          <w:p>
            <w:pPr>
              <w:pStyle w:val="32"/>
              <w:widowControl w:val="0"/>
              <w:numPr>
                <w:ilvl w:val="1"/>
                <w:numId w:val="10"/>
              </w:numPr>
              <w:spacing w:after="120"/>
              <w:rPr>
                <w:rFonts w:cs="Times"/>
                <w:color w:val="000000"/>
                <w:sz w:val="20"/>
                <w:szCs w:val="20"/>
              </w:rPr>
            </w:pPr>
            <w:r>
              <w:rPr>
                <w:rFonts w:cs="Times"/>
                <w:color w:val="000000"/>
                <w:sz w:val="20"/>
                <w:szCs w:val="20"/>
              </w:rPr>
              <w:t xml:space="preserve">Multiplexing Case D: Simultaneous MT-Tx/DU-Rx </w:t>
            </w:r>
          </w:p>
          <w:p>
            <w:pPr>
              <w:pStyle w:val="32"/>
              <w:widowControl w:val="0"/>
              <w:numPr>
                <w:ilvl w:val="0"/>
                <w:numId w:val="10"/>
              </w:numPr>
              <w:spacing w:after="120"/>
              <w:rPr>
                <w:rFonts w:cs="Times"/>
                <w:color w:val="000000"/>
                <w:sz w:val="20"/>
                <w:szCs w:val="20"/>
              </w:rPr>
            </w:pPr>
            <w:r>
              <w:rPr>
                <w:rFonts w:cs="Times"/>
                <w:color w:val="000000"/>
                <w:sz w:val="20"/>
                <w:szCs w:val="20"/>
              </w:rPr>
              <w:t>Further study for for Case A and Case B at least the following scenarios:</w:t>
            </w:r>
          </w:p>
          <w:p>
            <w:pPr>
              <w:pStyle w:val="32"/>
              <w:widowControl w:val="0"/>
              <w:numPr>
                <w:ilvl w:val="1"/>
                <w:numId w:val="10"/>
              </w:numPr>
              <w:spacing w:after="120"/>
              <w:rPr>
                <w:rFonts w:cs="Times"/>
                <w:color w:val="000000"/>
                <w:sz w:val="20"/>
                <w:szCs w:val="20"/>
              </w:rPr>
            </w:pPr>
            <w:r>
              <w:rPr>
                <w:rFonts w:cs="Times"/>
                <w:color w:val="000000"/>
                <w:sz w:val="20"/>
                <w:szCs w:val="20"/>
              </w:rPr>
              <w:t>Single or multi-panel IAB nodes operating in unpaired spectrum (FR1 and FR2 bands)</w:t>
            </w:r>
          </w:p>
          <w:p>
            <w:pPr>
              <w:pStyle w:val="32"/>
              <w:widowControl w:val="0"/>
              <w:numPr>
                <w:ilvl w:val="0"/>
                <w:numId w:val="10"/>
              </w:numPr>
              <w:spacing w:after="120"/>
              <w:rPr>
                <w:rFonts w:cs="Times"/>
                <w:color w:val="000000"/>
                <w:sz w:val="20"/>
                <w:szCs w:val="20"/>
              </w:rPr>
            </w:pPr>
            <w:r>
              <w:rPr>
                <w:rFonts w:cs="Times"/>
                <w:color w:val="000000"/>
                <w:sz w:val="20"/>
                <w:szCs w:val="20"/>
              </w:rPr>
              <w:t>Further study for Case C and Case D at least for the following scenarios:</w:t>
            </w:r>
          </w:p>
          <w:p>
            <w:pPr>
              <w:pStyle w:val="32"/>
              <w:widowControl w:val="0"/>
              <w:numPr>
                <w:ilvl w:val="1"/>
                <w:numId w:val="10"/>
              </w:numPr>
              <w:spacing w:after="120"/>
              <w:rPr>
                <w:rFonts w:eastAsia="Calibri" w:cs="Times"/>
                <w:sz w:val="20"/>
                <w:szCs w:val="20"/>
              </w:rPr>
            </w:pPr>
            <w:r>
              <w:rPr>
                <w:rFonts w:cs="Times"/>
                <w:color w:val="000000"/>
                <w:sz w:val="20"/>
                <w:szCs w:val="20"/>
              </w:rPr>
              <w:t xml:space="preserve">Multi-panel IAB nodes operating in unpaired spectrum (FR1 and FR2 bands) </w:t>
            </w:r>
          </w:p>
          <w:p>
            <w:pPr>
              <w:pStyle w:val="32"/>
              <w:widowControl w:val="0"/>
              <w:numPr>
                <w:ilvl w:val="0"/>
                <w:numId w:val="10"/>
              </w:numPr>
              <w:spacing w:after="120"/>
              <w:rPr>
                <w:rFonts w:eastAsia="Calibri" w:cs="Times"/>
                <w:sz w:val="20"/>
                <w:szCs w:val="20"/>
              </w:rPr>
            </w:pPr>
            <w:r>
              <w:rPr>
                <w:rFonts w:eastAsia="Calibri" w:cs="Times"/>
                <w:sz w:val="20"/>
                <w:szCs w:val="20"/>
              </w:rPr>
              <w:t xml:space="preserve">FFS: Required level of specification impact to support the different cases. Any additional specification support in Rel-17 should be </w:t>
            </w:r>
            <w:r>
              <w:rPr>
                <w:rFonts w:cs="Times"/>
                <w:color w:val="000000"/>
                <w:sz w:val="20"/>
                <w:szCs w:val="20"/>
              </w:rPr>
              <w:t xml:space="preserve">conditioned on feasibility from an interference and reliability perspective on a per-link and network basis </w:t>
            </w:r>
          </w:p>
          <w:p>
            <w:pPr>
              <w:widowControl w:val="0"/>
              <w:spacing w:before="120" w:after="120"/>
              <w:rPr>
                <w:sz w:val="20"/>
              </w:rPr>
            </w:pPr>
          </w:p>
          <w:p>
            <w:pPr>
              <w:pStyle w:val="4"/>
              <w:widowControl w:val="0"/>
              <w:spacing w:before="120" w:after="120" w:line="360" w:lineRule="auto"/>
              <w:ind w:right="210"/>
              <w:outlineLvl w:val="1"/>
              <w:rPr>
                <w:sz w:val="20"/>
              </w:rPr>
            </w:pPr>
            <w:r>
              <w:rPr>
                <w:rFonts w:hint="eastAsia"/>
                <w:sz w:val="20"/>
              </w:rPr>
              <w:t xml:space="preserve">Agreements of </w:t>
            </w:r>
            <w:r>
              <w:rPr>
                <w:sz w:val="20"/>
              </w:rPr>
              <w:t>RAN1 #</w:t>
            </w:r>
            <w:r>
              <w:rPr>
                <w:rFonts w:hint="eastAsia"/>
                <w:sz w:val="20"/>
              </w:rPr>
              <w:t>103-e[2]</w:t>
            </w:r>
          </w:p>
          <w:p>
            <w:pPr>
              <w:widowControl w:val="0"/>
              <w:spacing w:before="120" w:after="120"/>
              <w:rPr>
                <w:sz w:val="20"/>
                <w:highlight w:val="green"/>
              </w:rPr>
            </w:pPr>
            <w:r>
              <w:rPr>
                <w:sz w:val="20"/>
                <w:highlight w:val="green"/>
              </w:rPr>
              <w:t>Agreement</w:t>
            </w:r>
          </w:p>
          <w:p>
            <w:pPr>
              <w:widowControl w:val="0"/>
              <w:spacing w:before="120" w:after="120"/>
              <w:rPr>
                <w:rFonts w:eastAsia="Calibri"/>
                <w:bCs/>
                <w:sz w:val="20"/>
              </w:rPr>
            </w:pPr>
            <w:r>
              <w:rPr>
                <w:rFonts w:eastAsia="Calibri"/>
                <w:bCs/>
                <w:sz w:val="20"/>
              </w:rPr>
              <w:t>An IAB-node can rely on an OTA timing synchronization mechanism to enable/maintain Case 6 timing mode</w:t>
            </w:r>
          </w:p>
          <w:p>
            <w:pPr>
              <w:pStyle w:val="32"/>
              <w:widowControl w:val="0"/>
              <w:numPr>
                <w:ilvl w:val="0"/>
                <w:numId w:val="11"/>
              </w:numPr>
              <w:spacing w:after="120"/>
              <w:textAlignment w:val="baseline"/>
              <w:rPr>
                <w:rFonts w:eastAsia="Calibri" w:cs="Times"/>
                <w:color w:val="000000"/>
                <w:sz w:val="20"/>
                <w:szCs w:val="20"/>
              </w:rPr>
            </w:pPr>
            <w:r>
              <w:rPr>
                <w:rFonts w:eastAsia="Calibri" w:cs="Times"/>
                <w:color w:val="000000"/>
                <w:sz w:val="20"/>
                <w:szCs w:val="20"/>
              </w:rPr>
              <w:t xml:space="preserve">FFS whether the Rel-16 OTA synchronization mechanism is sufficient or enhancements are required </w:t>
            </w:r>
          </w:p>
          <w:p>
            <w:pPr>
              <w:pStyle w:val="32"/>
              <w:widowControl w:val="0"/>
              <w:numPr>
                <w:ilvl w:val="1"/>
                <w:numId w:val="11"/>
              </w:numPr>
              <w:spacing w:after="120"/>
              <w:textAlignment w:val="baseline"/>
              <w:rPr>
                <w:rFonts w:eastAsia="Calibri" w:cs="Times"/>
                <w:color w:val="000000"/>
                <w:sz w:val="20"/>
                <w:szCs w:val="20"/>
              </w:rPr>
            </w:pPr>
            <w:r>
              <w:rPr>
                <w:rFonts w:eastAsia="Calibri" w:cs="Times"/>
                <w:color w:val="000000"/>
                <w:sz w:val="20"/>
                <w:szCs w:val="20"/>
              </w:rPr>
              <w:t>If required, details of enhancements including the uplink timing(s) required to support different timing alignment cases</w:t>
            </w:r>
          </w:p>
          <w:p>
            <w:pPr>
              <w:widowControl w:val="0"/>
              <w:spacing w:before="120" w:after="120"/>
              <w:rPr>
                <w:rFonts w:eastAsia="Batang"/>
                <w:sz w:val="20"/>
                <w:highlight w:val="green"/>
              </w:rPr>
            </w:pPr>
            <w:r>
              <w:rPr>
                <w:sz w:val="20"/>
                <w:highlight w:val="green"/>
              </w:rPr>
              <w:t>Agreement</w:t>
            </w:r>
          </w:p>
          <w:p>
            <w:pPr>
              <w:widowControl w:val="0"/>
              <w:spacing w:before="120" w:after="120"/>
              <w:rPr>
                <w:rFonts w:eastAsia="Calibri"/>
                <w:bCs/>
                <w:sz w:val="20"/>
              </w:rPr>
            </w:pPr>
            <w:r>
              <w:rPr>
                <w:rFonts w:eastAsia="Calibri"/>
                <w:sz w:val="20"/>
              </w:rPr>
              <w:t>An IAB-node, when operating in Case 7 timing mode, can enable a child node to set its DL Tx timing based on Rel-16 OTA timing synchronization mechanism.</w:t>
            </w:r>
          </w:p>
          <w:p>
            <w:pPr>
              <w:pStyle w:val="32"/>
              <w:widowControl w:val="0"/>
              <w:numPr>
                <w:ilvl w:val="0"/>
                <w:numId w:val="11"/>
              </w:numPr>
              <w:spacing w:after="120"/>
              <w:textAlignment w:val="baseline"/>
              <w:rPr>
                <w:rFonts w:eastAsia="Calibri" w:cs="Times"/>
                <w:color w:val="000000"/>
                <w:sz w:val="20"/>
                <w:szCs w:val="20"/>
              </w:rPr>
            </w:pPr>
            <w:r>
              <w:rPr>
                <w:rFonts w:eastAsia="Calibri" w:cs="Times"/>
                <w:bCs/>
                <w:color w:val="000000"/>
                <w:sz w:val="20"/>
                <w:szCs w:val="20"/>
              </w:rPr>
              <w:t>FFS whether Rel-16 OTA synchronization mechanism enhancements are required</w:t>
            </w:r>
            <w:r>
              <w:rPr>
                <w:rFonts w:eastAsia="Calibri" w:cs="Times"/>
                <w:color w:val="000000"/>
                <w:sz w:val="20"/>
                <w:szCs w:val="20"/>
              </w:rPr>
              <w:t xml:space="preserve"> </w:t>
            </w:r>
          </w:p>
          <w:p>
            <w:pPr>
              <w:pStyle w:val="32"/>
              <w:widowControl w:val="0"/>
              <w:numPr>
                <w:ilvl w:val="1"/>
                <w:numId w:val="11"/>
              </w:numPr>
              <w:spacing w:after="120"/>
              <w:textAlignment w:val="baseline"/>
              <w:rPr>
                <w:sz w:val="20"/>
                <w:szCs w:val="20"/>
              </w:rPr>
            </w:pPr>
            <w:r>
              <w:rPr>
                <w:rFonts w:eastAsia="Calibri" w:cs="Times"/>
                <w:bCs/>
                <w:color w:val="000000"/>
                <w:sz w:val="20"/>
                <w:szCs w:val="20"/>
              </w:rPr>
              <w:t>FFS details of enhancements, if required</w:t>
            </w:r>
          </w:p>
          <w:p>
            <w:pPr>
              <w:widowControl w:val="0"/>
              <w:spacing w:before="120" w:after="120"/>
              <w:rPr>
                <w:rFonts w:eastAsia="Calibri" w:cs="Times"/>
                <w:color w:val="000000"/>
                <w:sz w:val="20"/>
                <w:highlight w:val="green"/>
              </w:rPr>
            </w:pPr>
            <w:r>
              <w:rPr>
                <w:rFonts w:eastAsia="Calibri" w:cs="Times"/>
                <w:color w:val="000000"/>
                <w:sz w:val="20"/>
                <w:highlight w:val="green"/>
              </w:rPr>
              <w:t>Agreement</w:t>
            </w:r>
          </w:p>
          <w:p>
            <w:pPr>
              <w:widowControl w:val="0"/>
              <w:spacing w:before="120" w:after="120"/>
              <w:rPr>
                <w:rFonts w:eastAsia="Calibri" w:cs="Times"/>
                <w:color w:val="000000"/>
                <w:sz w:val="20"/>
              </w:rPr>
            </w:pPr>
            <w:r>
              <w:rPr>
                <w:rFonts w:eastAsia="Calibri" w:cs="Times"/>
                <w:color w:val="000000"/>
                <w:sz w:val="20"/>
              </w:rPr>
              <w:t>Select one or both of the following modes of operation for Case 7 timing in RAN1#104-e:</w:t>
            </w:r>
          </w:p>
          <w:p>
            <w:pPr>
              <w:pStyle w:val="32"/>
              <w:widowControl w:val="0"/>
              <w:numPr>
                <w:ilvl w:val="0"/>
                <w:numId w:val="11"/>
              </w:numPr>
              <w:spacing w:after="120"/>
              <w:textAlignment w:val="baseline"/>
              <w:rPr>
                <w:rFonts w:eastAsia="Calibri" w:cs="Times"/>
                <w:color w:val="000000"/>
                <w:sz w:val="20"/>
                <w:szCs w:val="20"/>
              </w:rPr>
            </w:pPr>
            <w:r>
              <w:rPr>
                <w:rFonts w:eastAsia="Calibri" w:cs="Times"/>
                <w:color w:val="000000"/>
                <w:sz w:val="20"/>
                <w:szCs w:val="20"/>
              </w:rPr>
              <w:t>symbol level alignment without slot level alignment</w:t>
            </w:r>
          </w:p>
          <w:p>
            <w:pPr>
              <w:pStyle w:val="32"/>
              <w:widowControl w:val="0"/>
              <w:numPr>
                <w:ilvl w:val="0"/>
                <w:numId w:val="11"/>
              </w:numPr>
              <w:spacing w:after="120"/>
              <w:textAlignment w:val="baseline"/>
              <w:rPr>
                <w:sz w:val="20"/>
                <w:szCs w:val="20"/>
              </w:rPr>
            </w:pPr>
            <w:r>
              <w:rPr>
                <w:rFonts w:eastAsia="Calibri" w:cs="Times"/>
                <w:color w:val="000000"/>
                <w:sz w:val="20"/>
                <w:szCs w:val="20"/>
              </w:rPr>
              <w:t>slot level alignment</w:t>
            </w:r>
          </w:p>
          <w:p>
            <w:pPr>
              <w:widowControl w:val="0"/>
              <w:spacing w:before="120" w:after="120"/>
              <w:rPr>
                <w:sz w:val="20"/>
              </w:rPr>
            </w:pPr>
          </w:p>
        </w:tc>
      </w:tr>
    </w:tbl>
    <w:p>
      <w:pPr>
        <w:spacing w:before="120" w:after="120"/>
        <w:rPr>
          <w:sz w:val="20"/>
        </w:rPr>
      </w:pPr>
      <w:r>
        <w:rPr>
          <w:sz w:val="20"/>
        </w:rPr>
        <w:t xml:space="preserve">For Case </w:t>
      </w:r>
      <w:r>
        <w:rPr>
          <w:rFonts w:hint="eastAsia"/>
          <w:sz w:val="20"/>
        </w:rPr>
        <w:t>6</w:t>
      </w:r>
      <w:r>
        <w:rPr>
          <w:sz w:val="20"/>
        </w:rPr>
        <w:t xml:space="preserve"> timing and Case 7 timing, they have been supported for multiplexing scenario Case A and multiplexing scenario Case B respectively, and more details should be discussed.</w:t>
      </w:r>
    </w:p>
    <w:p>
      <w:pPr>
        <w:spacing w:before="120" w:after="120"/>
        <w:rPr>
          <w:b/>
          <w:bCs/>
          <w:sz w:val="20"/>
        </w:rPr>
      </w:pPr>
      <w:r>
        <w:rPr>
          <w:b/>
          <w:bCs/>
          <w:i/>
          <w:sz w:val="20"/>
          <w:u w:val="single"/>
        </w:rPr>
        <w:t>Case-6 timing for MT-Tx/DU</w:t>
      </w:r>
      <w:r>
        <w:rPr>
          <w:rFonts w:hint="eastAsia"/>
          <w:b/>
          <w:bCs/>
          <w:i/>
          <w:sz w:val="20"/>
          <w:u w:val="single"/>
        </w:rPr>
        <w:t>-</w:t>
      </w:r>
      <w:r>
        <w:rPr>
          <w:b/>
          <w:bCs/>
          <w:i/>
          <w:sz w:val="20"/>
          <w:u w:val="single"/>
        </w:rPr>
        <w:t>Tx</w:t>
      </w:r>
    </w:p>
    <w:p>
      <w:pPr>
        <w:spacing w:before="120" w:after="120"/>
        <w:rPr>
          <w:iCs/>
          <w:sz w:val="20"/>
        </w:rPr>
      </w:pPr>
      <w:r>
        <w:rPr>
          <w:rFonts w:hint="eastAsia"/>
          <w:sz w:val="20"/>
        </w:rPr>
        <w:t>For case-6 timing, d</w:t>
      </w:r>
      <w:r>
        <w:rPr>
          <w:sz w:val="20"/>
        </w:rPr>
        <w:t xml:space="preserve">ue to the fact that the alignment between IAB node’s UL-Tx timing and its DL-Tx timing is required, </w:t>
      </w:r>
      <w:r>
        <w:rPr>
          <w:rFonts w:hint="eastAsia"/>
          <w:sz w:val="20"/>
        </w:rPr>
        <w:t>the</w:t>
      </w:r>
      <w:r>
        <w:rPr>
          <w:iCs/>
          <w:sz w:val="20"/>
        </w:rPr>
        <w:t xml:space="preserve"> legacy TA </w:t>
      </w:r>
      <w:r>
        <w:rPr>
          <w:iCs/>
          <w:kern w:val="0"/>
          <w:sz w:val="20"/>
        </w:rPr>
        <w:t>mechanism</w:t>
      </w:r>
      <w:r>
        <w:rPr>
          <w:rFonts w:hint="eastAsia"/>
          <w:iCs/>
          <w:kern w:val="0"/>
          <w:sz w:val="20"/>
        </w:rPr>
        <w:t xml:space="preserve"> would not be feasible for the UL transmission</w:t>
      </w:r>
      <w:r>
        <w:rPr>
          <w:iCs/>
          <w:sz w:val="20"/>
        </w:rPr>
        <w:t xml:space="preserve">. </w:t>
      </w:r>
      <w:r>
        <w:rPr>
          <w:rFonts w:hint="eastAsia"/>
          <w:iCs/>
          <w:sz w:val="20"/>
        </w:rPr>
        <w:t>As a result,</w:t>
      </w:r>
      <w:r>
        <w:rPr>
          <w:iCs/>
          <w:sz w:val="20"/>
        </w:rPr>
        <w:t xml:space="preserve"> UL-Rx timing at the parent node could be different between IAB nodes and access UEs covered by the parent node. In this situation, </w:t>
      </w:r>
      <w:r>
        <w:rPr>
          <w:rFonts w:hint="eastAsia"/>
          <w:iCs/>
          <w:sz w:val="20"/>
        </w:rPr>
        <w:t xml:space="preserve">the </w:t>
      </w:r>
      <w:r>
        <w:rPr>
          <w:iCs/>
          <w:sz w:val="20"/>
        </w:rPr>
        <w:t xml:space="preserve">interference between IAB nodes and access UEs covered by the parent node will be </w:t>
      </w:r>
      <w:r>
        <w:rPr>
          <w:rFonts w:hint="eastAsia"/>
          <w:iCs/>
          <w:sz w:val="20"/>
        </w:rPr>
        <w:t xml:space="preserve">more serious </w:t>
      </w:r>
      <w:r>
        <w:rPr>
          <w:iCs/>
          <w:sz w:val="20"/>
        </w:rPr>
        <w:t>due to UL receiving</w:t>
      </w:r>
      <w:r>
        <w:rPr>
          <w:rFonts w:hint="eastAsia"/>
          <w:iCs/>
          <w:sz w:val="20"/>
        </w:rPr>
        <w:t xml:space="preserve"> timing misalignment</w:t>
      </w:r>
      <w:r>
        <w:rPr>
          <w:iCs/>
          <w:sz w:val="20"/>
        </w:rPr>
        <w:t xml:space="preserve"> at the parent node side. To </w:t>
      </w:r>
      <w:r>
        <w:rPr>
          <w:rFonts w:hint="eastAsia"/>
          <w:iCs/>
          <w:sz w:val="20"/>
        </w:rPr>
        <w:t xml:space="preserve">avoid the issue of </w:t>
      </w:r>
      <w:r>
        <w:rPr>
          <w:iCs/>
          <w:sz w:val="20"/>
        </w:rPr>
        <w:t>UL</w:t>
      </w:r>
      <w:r>
        <w:rPr>
          <w:rFonts w:hint="eastAsia"/>
          <w:iCs/>
          <w:sz w:val="20"/>
        </w:rPr>
        <w:t>-Rx timing</w:t>
      </w:r>
      <w:r>
        <w:rPr>
          <w:iCs/>
          <w:sz w:val="20"/>
        </w:rPr>
        <w:t xml:space="preserve"> asynchronization, IAB nodes and access UEs covered by the parent node are proposed to be </w:t>
      </w:r>
      <w:r>
        <w:rPr>
          <w:rFonts w:hint="eastAsia"/>
          <w:iCs/>
          <w:sz w:val="20"/>
        </w:rPr>
        <w:t>operated</w:t>
      </w:r>
      <w:r>
        <w:rPr>
          <w:iCs/>
          <w:sz w:val="20"/>
        </w:rPr>
        <w:t xml:space="preserve"> by TDM. However, the issue of </w:t>
      </w:r>
      <w:r>
        <w:rPr>
          <w:rFonts w:hint="eastAsia"/>
          <w:iCs/>
          <w:sz w:val="20"/>
        </w:rPr>
        <w:t>UL-Rx timing asynchronization</w:t>
      </w:r>
      <w:r>
        <w:rPr>
          <w:iCs/>
          <w:sz w:val="20"/>
        </w:rPr>
        <w:t xml:space="preserve"> between IAB nodes</w:t>
      </w:r>
      <w:r>
        <w:rPr>
          <w:rFonts w:hint="eastAsia"/>
          <w:iCs/>
          <w:sz w:val="20"/>
        </w:rPr>
        <w:t xml:space="preserve"> under the same parent node</w:t>
      </w:r>
      <w:r>
        <w:rPr>
          <w:iCs/>
          <w:sz w:val="20"/>
        </w:rPr>
        <w:t xml:space="preserve"> due to different transmission propagation still </w:t>
      </w:r>
      <w:r>
        <w:rPr>
          <w:rFonts w:hint="eastAsia"/>
          <w:iCs/>
          <w:sz w:val="20"/>
        </w:rPr>
        <w:t>exists</w:t>
      </w:r>
      <w:r>
        <w:rPr>
          <w:iCs/>
          <w:sz w:val="20"/>
        </w:rPr>
        <w:t xml:space="preserve">, which means that TDMed slots may also be needed between </w:t>
      </w:r>
      <w:r>
        <w:rPr>
          <w:rFonts w:hint="eastAsia"/>
          <w:iCs/>
          <w:sz w:val="20"/>
        </w:rPr>
        <w:t xml:space="preserve">those </w:t>
      </w:r>
      <w:r>
        <w:rPr>
          <w:iCs/>
          <w:sz w:val="20"/>
        </w:rPr>
        <w:t xml:space="preserve">IAB nodes. </w:t>
      </w:r>
      <w:r>
        <w:rPr>
          <w:rFonts w:hint="eastAsia"/>
          <w:iCs/>
          <w:sz w:val="20"/>
        </w:rPr>
        <w:t xml:space="preserve">Moreover, if the IAB nodes only work with case-6 timing, the problem of how to align the DL-Tx timing between parent and its child nodearises, such as e.g., the issues listed in Table1. Obviously, these issues would incur more impacts on spec. </w:t>
      </w:r>
    </w:p>
    <w:p>
      <w:pPr>
        <w:spacing w:before="120" w:after="120"/>
        <w:rPr>
          <w:iCs/>
          <w:sz w:val="20"/>
        </w:rPr>
      </w:pPr>
      <w:r>
        <w:rPr>
          <w:rFonts w:hint="eastAsia"/>
          <w:iCs/>
          <w:sz w:val="20"/>
        </w:rPr>
        <w:t>To overcome the above issues, a solution that IAB node works with both case-1 timing and case-6 timing can be considered. In this way, DL-Tx timing alignment can be done by reusing case-1 timing defined in Rel-16, and the compatibility for access UEs can be maintained while the UEs can work in the slots with case-1 timing.</w:t>
      </w:r>
    </w:p>
    <w:p>
      <w:pPr>
        <w:spacing w:before="120" w:after="120"/>
        <w:rPr>
          <w:iCs/>
          <w:sz w:val="20"/>
        </w:rPr>
      </w:pPr>
      <w:r>
        <w:rPr>
          <w:rFonts w:hint="eastAsia"/>
          <w:sz w:val="20"/>
        </w:rPr>
        <w:t>To illustrate the outline of the two solutions,</w:t>
      </w:r>
      <w:r>
        <w:rPr>
          <w:rFonts w:hint="eastAsia"/>
          <w:iCs/>
          <w:sz w:val="20"/>
        </w:rPr>
        <w:t xml:space="preserve"> some analysis/comparisons are listed in the table 1.</w:t>
      </w:r>
    </w:p>
    <w:p>
      <w:pPr>
        <w:spacing w:before="120" w:after="120"/>
        <w:jc w:val="center"/>
        <w:rPr>
          <w:b/>
          <w:bCs/>
          <w:iCs/>
          <w:sz w:val="20"/>
        </w:rPr>
      </w:pPr>
      <w:r>
        <w:rPr>
          <w:rFonts w:hint="eastAsia"/>
          <w:b/>
          <w:bCs/>
          <w:iCs/>
          <w:sz w:val="20"/>
        </w:rPr>
        <w:t>Table 1. Comparisons related to case-6 timing</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tcPr>
          <w:p>
            <w:pPr>
              <w:widowControl w:val="0"/>
              <w:spacing w:before="120" w:after="120"/>
              <w:rPr>
                <w:iCs/>
                <w:sz w:val="20"/>
              </w:rPr>
            </w:pPr>
            <w:r>
              <w:rPr>
                <w:rFonts w:hint="eastAsia"/>
                <w:b/>
                <w:bCs/>
                <w:iCs/>
                <w:sz w:val="20"/>
              </w:rPr>
              <w:t xml:space="preserve">Operation way </w:t>
            </w:r>
            <w:r>
              <w:rPr>
                <w:rFonts w:hint="eastAsia"/>
                <w:b/>
                <w:bCs/>
                <w:sz w:val="20"/>
              </w:rPr>
              <w:t>in the system</w:t>
            </w:r>
          </w:p>
        </w:tc>
        <w:tc>
          <w:tcPr>
            <w:tcW w:w="1704" w:type="dxa"/>
          </w:tcPr>
          <w:p>
            <w:pPr>
              <w:widowControl w:val="0"/>
              <w:spacing w:before="120" w:after="120"/>
              <w:rPr>
                <w:iCs/>
                <w:sz w:val="20"/>
              </w:rPr>
            </w:pPr>
            <w:r>
              <w:rPr>
                <w:rFonts w:hint="eastAsia"/>
                <w:b/>
                <w:bCs/>
                <w:iCs/>
                <w:sz w:val="20"/>
              </w:rPr>
              <w:t>DL-Tx timing</w:t>
            </w:r>
          </w:p>
        </w:tc>
        <w:tc>
          <w:tcPr>
            <w:tcW w:w="1704" w:type="dxa"/>
          </w:tcPr>
          <w:p>
            <w:pPr>
              <w:widowControl w:val="0"/>
              <w:spacing w:before="120" w:after="120"/>
              <w:rPr>
                <w:iCs/>
                <w:sz w:val="20"/>
              </w:rPr>
            </w:pPr>
            <w:r>
              <w:rPr>
                <w:rFonts w:hint="eastAsia"/>
                <w:b/>
                <w:bCs/>
                <w:iCs/>
                <w:sz w:val="20"/>
              </w:rPr>
              <w:t>UL-Tx timing</w:t>
            </w:r>
          </w:p>
        </w:tc>
        <w:tc>
          <w:tcPr>
            <w:tcW w:w="1705" w:type="dxa"/>
          </w:tcPr>
          <w:p>
            <w:pPr>
              <w:widowControl w:val="0"/>
              <w:spacing w:before="120" w:after="120"/>
              <w:rPr>
                <w:iCs/>
                <w:sz w:val="20"/>
              </w:rPr>
            </w:pPr>
            <w:r>
              <w:rPr>
                <w:rFonts w:hint="eastAsia"/>
                <w:b/>
                <w:bCs/>
                <w:iCs/>
                <w:sz w:val="20"/>
              </w:rPr>
              <w:t>Range of T_delta</w:t>
            </w:r>
          </w:p>
        </w:tc>
        <w:tc>
          <w:tcPr>
            <w:tcW w:w="1705" w:type="dxa"/>
          </w:tcPr>
          <w:p>
            <w:pPr>
              <w:widowControl w:val="0"/>
              <w:spacing w:before="120" w:after="120"/>
              <w:rPr>
                <w:iCs/>
                <w:sz w:val="20"/>
              </w:rPr>
            </w:pPr>
            <w:r>
              <w:rPr>
                <w:rFonts w:hint="eastAsia"/>
                <w:b/>
                <w:bCs/>
                <w:iCs/>
                <w:sz w:val="20"/>
              </w:rPr>
              <w:t>C</w:t>
            </w:r>
            <w:r>
              <w:rPr>
                <w:b/>
                <w:bCs/>
                <w:iCs/>
                <w:sz w:val="20"/>
              </w:rPr>
              <w:t>ompatibility</w:t>
            </w:r>
            <w:r>
              <w:rPr>
                <w:rFonts w:hint="eastAsia"/>
                <w:b/>
                <w:bCs/>
                <w:iCs/>
                <w:sz w:val="20"/>
              </w:rPr>
              <w:t xml:space="preserve"> of </w:t>
            </w:r>
            <w:r>
              <w:rPr>
                <w:b/>
                <w:bCs/>
                <w:iCs/>
                <w:sz w:val="20"/>
              </w:rPr>
              <w:t>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tcPr>
          <w:p>
            <w:pPr>
              <w:widowControl w:val="0"/>
              <w:spacing w:before="120" w:after="120"/>
              <w:ind w:left="200" w:hanging="200" w:hangingChars="100"/>
              <w:rPr>
                <w:iCs/>
                <w:sz w:val="20"/>
              </w:rPr>
            </w:pPr>
            <w:r>
              <w:rPr>
                <w:rFonts w:hint="eastAsia"/>
                <w:iCs/>
                <w:sz w:val="20"/>
              </w:rPr>
              <w:t>case-1 + case-6</w:t>
            </w:r>
          </w:p>
        </w:tc>
        <w:tc>
          <w:tcPr>
            <w:tcW w:w="1704" w:type="dxa"/>
          </w:tcPr>
          <w:p>
            <w:pPr>
              <w:widowControl w:val="0"/>
              <w:spacing w:before="120" w:after="120"/>
              <w:rPr>
                <w:iCs/>
                <w:sz w:val="20"/>
              </w:rPr>
            </w:pPr>
            <w:r>
              <w:rPr>
                <w:rFonts w:hint="eastAsia"/>
                <w:iCs/>
                <w:sz w:val="20"/>
              </w:rPr>
              <w:t>By case-1</w:t>
            </w:r>
          </w:p>
        </w:tc>
        <w:tc>
          <w:tcPr>
            <w:tcW w:w="1704" w:type="dxa"/>
          </w:tcPr>
          <w:p>
            <w:pPr>
              <w:widowControl w:val="0"/>
              <w:spacing w:before="120" w:after="120"/>
              <w:rPr>
                <w:iCs/>
                <w:sz w:val="20"/>
              </w:rPr>
            </w:pPr>
            <w:r>
              <w:rPr>
                <w:rFonts w:hint="eastAsia"/>
                <w:iCs/>
                <w:sz w:val="20"/>
              </w:rPr>
              <w:t>Legacy TA mechanism under case-1;</w:t>
            </w:r>
          </w:p>
          <w:p>
            <w:pPr>
              <w:widowControl w:val="0"/>
              <w:spacing w:before="120" w:after="120"/>
              <w:rPr>
                <w:iCs/>
                <w:sz w:val="20"/>
              </w:rPr>
            </w:pPr>
            <w:r>
              <w:rPr>
                <w:rFonts w:hint="eastAsia"/>
                <w:iCs/>
                <w:sz w:val="20"/>
              </w:rPr>
              <w:t>DL-Tx timing under case-6</w:t>
            </w:r>
          </w:p>
        </w:tc>
        <w:tc>
          <w:tcPr>
            <w:tcW w:w="1705" w:type="dxa"/>
          </w:tcPr>
          <w:p>
            <w:pPr>
              <w:widowControl w:val="0"/>
              <w:spacing w:before="120" w:after="120"/>
              <w:rPr>
                <w:iCs/>
                <w:sz w:val="20"/>
              </w:rPr>
            </w:pPr>
            <w:r>
              <w:rPr>
                <w:rFonts w:hint="eastAsia"/>
                <w:iCs/>
                <w:sz w:val="20"/>
              </w:rPr>
              <w:t>Similar as case-1 under case-1;</w:t>
            </w:r>
          </w:p>
          <w:p>
            <w:pPr>
              <w:widowControl w:val="0"/>
              <w:spacing w:before="120" w:after="120"/>
              <w:rPr>
                <w:iCs/>
                <w:sz w:val="20"/>
              </w:rPr>
            </w:pPr>
            <w:r>
              <w:rPr>
                <w:rFonts w:hint="eastAsia"/>
                <w:iCs/>
                <w:sz w:val="20"/>
              </w:rPr>
              <w:t>No concept on T_delta under case-6</w:t>
            </w:r>
          </w:p>
        </w:tc>
        <w:tc>
          <w:tcPr>
            <w:tcW w:w="1705" w:type="dxa"/>
          </w:tcPr>
          <w:p>
            <w:pPr>
              <w:widowControl w:val="0"/>
              <w:spacing w:before="120" w:after="120"/>
              <w:rPr>
                <w:iCs/>
                <w:sz w:val="20"/>
              </w:rPr>
            </w:pPr>
            <w:r>
              <w:rPr>
                <w:rFonts w:hint="eastAsia"/>
                <w:iCs/>
                <w:sz w:val="20"/>
              </w:rPr>
              <w:t>Okay for the slots operating with case-1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tcPr>
          <w:p>
            <w:pPr>
              <w:widowControl w:val="0"/>
              <w:spacing w:before="120" w:after="120"/>
              <w:rPr>
                <w:iCs/>
                <w:sz w:val="20"/>
              </w:rPr>
            </w:pPr>
            <w:r>
              <w:rPr>
                <w:rFonts w:hint="eastAsia"/>
                <w:iCs/>
                <w:sz w:val="20"/>
              </w:rPr>
              <w:t>Only case-6</w:t>
            </w:r>
          </w:p>
        </w:tc>
        <w:tc>
          <w:tcPr>
            <w:tcW w:w="1704" w:type="dxa"/>
          </w:tcPr>
          <w:p>
            <w:pPr>
              <w:widowControl w:val="0"/>
              <w:spacing w:before="120" w:after="120"/>
              <w:rPr>
                <w:iCs/>
                <w:sz w:val="20"/>
              </w:rPr>
            </w:pPr>
            <w:r>
              <w:rPr>
                <w:rFonts w:hint="eastAsia"/>
                <w:iCs/>
                <w:sz w:val="20"/>
              </w:rPr>
              <w:t xml:space="preserve">To enhance OTA mechanism due to the next two columns </w:t>
            </w:r>
          </w:p>
        </w:tc>
        <w:tc>
          <w:tcPr>
            <w:tcW w:w="1704" w:type="dxa"/>
          </w:tcPr>
          <w:p>
            <w:pPr>
              <w:widowControl w:val="0"/>
              <w:spacing w:before="120" w:after="120"/>
              <w:rPr>
                <w:iCs/>
                <w:sz w:val="20"/>
              </w:rPr>
            </w:pPr>
            <w:r>
              <w:rPr>
                <w:rFonts w:hint="eastAsia"/>
                <w:iCs/>
                <w:sz w:val="20"/>
              </w:rPr>
              <w:t>New TA mechanism</w:t>
            </w:r>
          </w:p>
        </w:tc>
        <w:tc>
          <w:tcPr>
            <w:tcW w:w="1705" w:type="dxa"/>
          </w:tcPr>
          <w:p>
            <w:pPr>
              <w:widowControl w:val="0"/>
              <w:spacing w:before="120" w:after="120"/>
              <w:rPr>
                <w:iCs/>
                <w:sz w:val="20"/>
              </w:rPr>
            </w:pPr>
            <w:r>
              <w:rPr>
                <w:rFonts w:hint="eastAsia"/>
                <w:iCs/>
                <w:sz w:val="20"/>
              </w:rPr>
              <w:t>New range of T_delta</w:t>
            </w:r>
          </w:p>
        </w:tc>
        <w:tc>
          <w:tcPr>
            <w:tcW w:w="1705" w:type="dxa"/>
          </w:tcPr>
          <w:p>
            <w:pPr>
              <w:widowControl w:val="0"/>
              <w:spacing w:before="120" w:after="120"/>
              <w:rPr>
                <w:iCs/>
                <w:sz w:val="20"/>
              </w:rPr>
            </w:pPr>
            <w:r>
              <w:rPr>
                <w:rFonts w:hint="eastAsia"/>
                <w:iCs/>
                <w:sz w:val="20"/>
              </w:rPr>
              <w:t>Bad</w:t>
            </w:r>
          </w:p>
        </w:tc>
      </w:tr>
    </w:tbl>
    <w:p>
      <w:pPr>
        <w:spacing w:before="120" w:after="120"/>
        <w:rPr>
          <w:sz w:val="20"/>
        </w:rPr>
      </w:pPr>
      <w:r>
        <w:rPr>
          <w:rFonts w:hint="eastAsia"/>
          <w:iCs/>
          <w:sz w:val="20"/>
        </w:rPr>
        <w:t>Basing on the above analysis</w:t>
      </w:r>
      <w:r>
        <w:rPr>
          <w:iCs/>
          <w:sz w:val="20"/>
        </w:rPr>
        <w:t xml:space="preserve"> </w:t>
      </w:r>
      <w:r>
        <w:rPr>
          <w:rFonts w:hint="eastAsia"/>
          <w:iCs/>
          <w:sz w:val="20"/>
        </w:rPr>
        <w:t xml:space="preserve">and comparisons, </w:t>
      </w:r>
      <w:r>
        <w:rPr>
          <w:rFonts w:hint="eastAsia"/>
          <w:sz w:val="20"/>
        </w:rPr>
        <w:t>we have the following observation and proposal related to case-6 timing.</w:t>
      </w:r>
    </w:p>
    <w:p>
      <w:pPr>
        <w:pStyle w:val="28"/>
        <w:spacing w:before="120" w:after="120"/>
        <w:rPr>
          <w:lang w:val="en-US" w:eastAsia="zh-CN"/>
        </w:rPr>
      </w:pPr>
      <w:r>
        <w:t xml:space="preserve"> </w:t>
      </w:r>
      <w:bookmarkStart w:id="0" w:name="_Toc25829"/>
      <w:bookmarkStart w:id="1" w:name="_Toc21994"/>
      <w:bookmarkStart w:id="2" w:name="_Toc61861936"/>
      <w:r>
        <w:rPr>
          <w:rFonts w:hint="eastAsia"/>
          <w:lang w:val="en-US" w:eastAsia="zh-CN"/>
        </w:rPr>
        <w:t>For the solution with TDMed case-1 timing and case-6 timing, there</w:t>
      </w:r>
      <w:r>
        <w:rPr>
          <w:rFonts w:hint="eastAsia"/>
        </w:rPr>
        <w:t xml:space="preserve"> </w:t>
      </w:r>
      <w:r>
        <w:rPr>
          <w:rFonts w:hint="eastAsia"/>
          <w:lang w:val="en-US" w:eastAsia="zh-CN"/>
        </w:rPr>
        <w:t xml:space="preserve">is less specification and </w:t>
      </w:r>
      <w:r>
        <w:rPr>
          <w:rFonts w:hint="eastAsia"/>
        </w:rPr>
        <w:t>compatibility issue</w:t>
      </w:r>
      <w:r>
        <w:rPr>
          <w:rFonts w:hint="eastAsia"/>
          <w:lang w:val="en-US" w:eastAsia="zh-CN"/>
        </w:rPr>
        <w:t>.</w:t>
      </w:r>
      <w:bookmarkEnd w:id="0"/>
      <w:bookmarkEnd w:id="1"/>
      <w:bookmarkEnd w:id="2"/>
      <w:r>
        <w:rPr>
          <w:rFonts w:hint="eastAsia"/>
          <w:lang w:val="en-US" w:eastAsia="zh-CN"/>
        </w:rPr>
        <w:t xml:space="preserve">  </w:t>
      </w:r>
    </w:p>
    <w:p>
      <w:pPr>
        <w:pStyle w:val="27"/>
        <w:spacing w:before="120" w:after="120"/>
        <w:rPr>
          <w:lang w:val="en-US" w:eastAsia="zh-CN"/>
        </w:rPr>
      </w:pPr>
      <w:bookmarkStart w:id="3" w:name="_Toc258"/>
      <w:bookmarkStart w:id="4" w:name="_Toc29548"/>
      <w:bookmarkStart w:id="5" w:name="_Toc3954"/>
      <w:bookmarkStart w:id="6" w:name="_Toc21284"/>
      <w:bookmarkStart w:id="7" w:name="_Toc27094"/>
      <w:bookmarkStart w:id="8" w:name="_Toc7493"/>
      <w:bookmarkStart w:id="9" w:name="_Toc61861914"/>
      <w:r>
        <w:rPr>
          <w:rFonts w:hint="eastAsia"/>
          <w:lang w:val="en-US" w:eastAsia="zh-CN"/>
        </w:rPr>
        <w:t xml:space="preserve">TDMed Case-1 timing and case-6 timing should be supported </w:t>
      </w:r>
      <w:r>
        <w:rPr>
          <w:lang w:val="en-US" w:eastAsia="zh-CN"/>
        </w:rPr>
        <w:t xml:space="preserve">at least </w:t>
      </w:r>
      <w:r>
        <w:rPr>
          <w:rFonts w:hint="eastAsia"/>
          <w:lang w:val="en-US" w:eastAsia="zh-CN"/>
        </w:rPr>
        <w:t xml:space="preserve">for </w:t>
      </w:r>
      <w:r>
        <w:t>IAB-nodes operating in multiplexing scenario Case A</w:t>
      </w:r>
      <w:r>
        <w:rPr>
          <w:rFonts w:hint="eastAsia"/>
          <w:lang w:val="en-US" w:eastAsia="zh-CN"/>
        </w:rPr>
        <w:t>:</w:t>
      </w:r>
      <w:bookmarkEnd w:id="3"/>
      <w:bookmarkEnd w:id="4"/>
      <w:bookmarkEnd w:id="5"/>
      <w:bookmarkEnd w:id="6"/>
      <w:bookmarkEnd w:id="7"/>
      <w:bookmarkEnd w:id="8"/>
      <w:bookmarkEnd w:id="9"/>
      <w:r>
        <w:rPr>
          <w:rFonts w:hint="eastAsia"/>
          <w:lang w:val="en-US" w:eastAsia="zh-CN"/>
        </w:rPr>
        <w:t xml:space="preserve"> </w:t>
      </w:r>
    </w:p>
    <w:p>
      <w:pPr>
        <w:pStyle w:val="29"/>
        <w:tabs>
          <w:tab w:val="left" w:pos="420"/>
        </w:tabs>
        <w:spacing w:before="120" w:after="120"/>
        <w:ind w:left="822" w:hanging="402"/>
        <w:rPr>
          <w:lang w:val="en-US" w:eastAsia="zh-CN"/>
        </w:rPr>
      </w:pPr>
      <w:bookmarkStart w:id="10" w:name="_Toc4810"/>
      <w:bookmarkStart w:id="11" w:name="_Toc8586"/>
      <w:bookmarkStart w:id="12" w:name="_Toc7696"/>
      <w:bookmarkStart w:id="13" w:name="_Toc1015"/>
      <w:bookmarkStart w:id="14" w:name="_Toc15517"/>
      <w:bookmarkStart w:id="15" w:name="_Toc26972"/>
      <w:bookmarkStart w:id="16" w:name="_Toc61861915"/>
      <w:r>
        <w:rPr>
          <w:rFonts w:hint="eastAsia"/>
          <w:lang w:val="en-US" w:eastAsia="zh-CN"/>
        </w:rPr>
        <w:t>DL-Tx</w:t>
      </w:r>
      <w:r>
        <w:rPr>
          <w:rFonts w:hint="eastAsia"/>
        </w:rPr>
        <w:t xml:space="preserve"> </w:t>
      </w:r>
      <w:r>
        <w:rPr>
          <w:rFonts w:hint="eastAsia"/>
          <w:lang w:val="en-US" w:eastAsia="zh-CN"/>
        </w:rPr>
        <w:t xml:space="preserve">timing of </w:t>
      </w:r>
      <w:r>
        <w:rPr>
          <w:rFonts w:hint="eastAsia"/>
        </w:rPr>
        <w:t xml:space="preserve">case-6 timing </w:t>
      </w:r>
      <w:r>
        <w:rPr>
          <w:rFonts w:hint="eastAsia"/>
          <w:lang w:val="en-US" w:eastAsia="zh-CN"/>
        </w:rPr>
        <w:t>would</w:t>
      </w:r>
      <w:r>
        <w:rPr>
          <w:rFonts w:hint="eastAsia"/>
        </w:rPr>
        <w:t xml:space="preserve"> </w:t>
      </w:r>
      <w:r>
        <w:rPr>
          <w:rFonts w:hint="eastAsia"/>
          <w:lang w:val="en-US" w:eastAsia="zh-CN"/>
        </w:rPr>
        <w:t xml:space="preserve">be </w:t>
      </w:r>
      <w:r>
        <w:rPr>
          <w:rFonts w:hint="eastAsia"/>
        </w:rPr>
        <w:t>equivalently</w:t>
      </w:r>
      <w:r>
        <w:rPr>
          <w:rFonts w:hint="eastAsia"/>
          <w:lang w:val="en-US" w:eastAsia="zh-CN"/>
        </w:rPr>
        <w:t xml:space="preserve"> derived by </w:t>
      </w:r>
      <w:r>
        <w:rPr>
          <w:rFonts w:hint="eastAsia" w:cs="Times"/>
          <w:color w:val="000000"/>
          <w:lang w:val="en-US" w:eastAsia="zh-CN"/>
        </w:rPr>
        <w:t xml:space="preserve">DL-Tx timing of </w:t>
      </w:r>
      <w:r>
        <w:rPr>
          <w:rFonts w:hint="eastAsia"/>
        </w:rPr>
        <w:t>case-1 timing</w:t>
      </w:r>
      <w:bookmarkEnd w:id="10"/>
      <w:bookmarkEnd w:id="11"/>
      <w:bookmarkEnd w:id="12"/>
      <w:bookmarkEnd w:id="13"/>
      <w:bookmarkEnd w:id="14"/>
      <w:bookmarkEnd w:id="15"/>
      <w:bookmarkEnd w:id="16"/>
    </w:p>
    <w:p>
      <w:pPr>
        <w:pStyle w:val="29"/>
        <w:tabs>
          <w:tab w:val="left" w:pos="420"/>
        </w:tabs>
        <w:spacing w:before="120" w:after="120"/>
        <w:ind w:left="822" w:hanging="402"/>
        <w:rPr>
          <w:lang w:val="en-US" w:eastAsia="zh-CN"/>
        </w:rPr>
      </w:pPr>
      <w:bookmarkStart w:id="17" w:name="_Toc973"/>
      <w:bookmarkStart w:id="18" w:name="_Toc13798"/>
      <w:bookmarkStart w:id="19" w:name="_Toc6086"/>
      <w:bookmarkStart w:id="20" w:name="_Toc25295"/>
      <w:bookmarkStart w:id="21" w:name="_Toc7937"/>
      <w:bookmarkStart w:id="22" w:name="_Toc16869"/>
      <w:bookmarkStart w:id="23" w:name="_Toc61861916"/>
      <w:r>
        <w:rPr>
          <w:rFonts w:hint="eastAsia"/>
        </w:rPr>
        <w:t xml:space="preserve">Parent node can indicate </w:t>
      </w:r>
      <w:r>
        <w:rPr>
          <w:rFonts w:hint="eastAsia"/>
          <w:lang w:val="en-US" w:eastAsia="zh-CN"/>
        </w:rPr>
        <w:t xml:space="preserve">certain </w:t>
      </w:r>
      <w:r>
        <w:rPr>
          <w:rFonts w:hint="eastAsia"/>
        </w:rPr>
        <w:t>timing is used for UL</w:t>
      </w:r>
      <w:r>
        <w:rPr>
          <w:rFonts w:hint="eastAsia"/>
          <w:lang w:val="en-US" w:eastAsia="zh-CN"/>
        </w:rPr>
        <w:t>-Tx</w:t>
      </w:r>
      <w:r>
        <w:rPr>
          <w:rFonts w:hint="eastAsia"/>
        </w:rPr>
        <w:t xml:space="preserve"> </w:t>
      </w:r>
      <w:r>
        <w:rPr>
          <w:rFonts w:hint="eastAsia"/>
          <w:lang w:val="en-US" w:eastAsia="zh-CN"/>
        </w:rPr>
        <w:t xml:space="preserve">timing </w:t>
      </w:r>
      <w:r>
        <w:rPr>
          <w:rFonts w:hint="eastAsia"/>
        </w:rPr>
        <w:t xml:space="preserve">to </w:t>
      </w:r>
      <w:r>
        <w:rPr>
          <w:rFonts w:hint="eastAsia"/>
          <w:lang w:val="en-US" w:eastAsia="zh-CN"/>
        </w:rPr>
        <w:t>IAB-</w:t>
      </w:r>
      <w:r>
        <w:rPr>
          <w:rFonts w:hint="eastAsia"/>
        </w:rPr>
        <w:t>node</w:t>
      </w:r>
      <w:r>
        <w:rPr>
          <w:rFonts w:hint="eastAsia"/>
          <w:lang w:val="en-US" w:eastAsia="zh-CN"/>
        </w:rPr>
        <w:t>, i.e., normal TA mechanism is used for UL-Tx timing when IAB-</w:t>
      </w:r>
      <w:r>
        <w:rPr>
          <w:rFonts w:hint="eastAsia"/>
        </w:rPr>
        <w:t>node</w:t>
      </w:r>
      <w:r>
        <w:rPr>
          <w:rFonts w:hint="eastAsia"/>
          <w:lang w:val="en-US" w:eastAsia="zh-CN"/>
        </w:rPr>
        <w:t xml:space="preserve"> operate with case-1 timing and DL-Tx timing is used for UL-Tx timing when IAB-</w:t>
      </w:r>
      <w:r>
        <w:rPr>
          <w:rFonts w:hint="eastAsia"/>
        </w:rPr>
        <w:t>node</w:t>
      </w:r>
      <w:r>
        <w:rPr>
          <w:rFonts w:hint="eastAsia"/>
          <w:lang w:val="en-US" w:eastAsia="zh-CN"/>
        </w:rPr>
        <w:t xml:space="preserve"> operate with case-6 timing</w:t>
      </w:r>
      <w:bookmarkEnd w:id="17"/>
      <w:bookmarkEnd w:id="18"/>
      <w:bookmarkEnd w:id="19"/>
      <w:bookmarkEnd w:id="20"/>
      <w:bookmarkEnd w:id="21"/>
      <w:bookmarkEnd w:id="22"/>
      <w:bookmarkEnd w:id="23"/>
      <w:r>
        <w:rPr>
          <w:rFonts w:hint="eastAsia"/>
          <w:lang w:val="en-US" w:eastAsia="zh-CN"/>
        </w:rPr>
        <w:t xml:space="preserve">   </w:t>
      </w:r>
    </w:p>
    <w:p>
      <w:pPr>
        <w:spacing w:before="120" w:after="120"/>
        <w:rPr>
          <w:b/>
          <w:bCs/>
          <w:i/>
          <w:sz w:val="20"/>
          <w:u w:val="single"/>
        </w:rPr>
      </w:pPr>
      <w:r>
        <w:rPr>
          <w:b/>
          <w:bCs/>
          <w:i/>
          <w:sz w:val="20"/>
          <w:u w:val="single"/>
        </w:rPr>
        <w:t>Case-7 timing for MT-Rx/DU-Rx</w:t>
      </w:r>
    </w:p>
    <w:p>
      <w:pPr>
        <w:spacing w:before="120" w:after="120"/>
        <w:rPr>
          <w:iCs/>
          <w:sz w:val="20"/>
        </w:rPr>
      </w:pPr>
      <w:r>
        <w:rPr>
          <w:rFonts w:hint="eastAsia"/>
          <w:sz w:val="20"/>
        </w:rPr>
        <w:t>For the case of only case-7 timing, d</w:t>
      </w:r>
      <w:r>
        <w:rPr>
          <w:sz w:val="20"/>
        </w:rPr>
        <w:t xml:space="preserve">ue to the fact that the alignment between IAB node’s UL-Rx timing and its DL-Rx timing is required, </w:t>
      </w:r>
      <w:r>
        <w:rPr>
          <w:rFonts w:hint="eastAsia"/>
          <w:sz w:val="20"/>
        </w:rPr>
        <w:t>it</w:t>
      </w:r>
      <w:r>
        <w:rPr>
          <w:sz w:val="20"/>
        </w:rPr>
        <w:t xml:space="preserve"> </w:t>
      </w:r>
      <w:r>
        <w:rPr>
          <w:rFonts w:hint="eastAsia"/>
          <w:sz w:val="20"/>
        </w:rPr>
        <w:t xml:space="preserve">may </w:t>
      </w:r>
      <w:r>
        <w:rPr>
          <w:sz w:val="20"/>
        </w:rPr>
        <w:t>result in potential negative TA in access uplink when transmission propagation of backhaul link is larger than 2 times of transmission propagation of access link, which is a key issue of case-7 timing</w:t>
      </w:r>
      <w:r>
        <w:rPr>
          <w:iCs/>
          <w:sz w:val="20"/>
        </w:rPr>
        <w:t>.</w:t>
      </w:r>
      <w:r>
        <w:rPr>
          <w:rFonts w:hint="eastAsia"/>
          <w:iCs/>
          <w:sz w:val="20"/>
        </w:rPr>
        <w:t xml:space="preserve"> Another issue of only case-7 timing is how to derive DL-Tx timing of IAB-node and/or child node. We think that these two issues should be together considered in a unified way as comparisons in the table 2.</w:t>
      </w:r>
    </w:p>
    <w:p>
      <w:pPr>
        <w:spacing w:before="120" w:after="120"/>
        <w:jc w:val="center"/>
        <w:rPr>
          <w:b/>
          <w:bCs/>
          <w:iCs/>
          <w:sz w:val="20"/>
        </w:rPr>
      </w:pPr>
      <w:r>
        <w:rPr>
          <w:rFonts w:hint="eastAsia"/>
          <w:b/>
          <w:bCs/>
          <w:iCs/>
          <w:sz w:val="20"/>
        </w:rPr>
        <w:t>Table 2. Comparisons related to case-7 timing</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4"/>
        <w:gridCol w:w="1165"/>
        <w:gridCol w:w="1199"/>
        <w:gridCol w:w="1201"/>
        <w:gridCol w:w="1202"/>
        <w:gridCol w:w="1156"/>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4" w:type="dxa"/>
          </w:tcPr>
          <w:p>
            <w:pPr>
              <w:widowControl w:val="0"/>
              <w:spacing w:before="120" w:after="120"/>
              <w:jc w:val="center"/>
              <w:rPr>
                <w:b/>
                <w:bCs/>
                <w:iCs/>
                <w:sz w:val="20"/>
              </w:rPr>
            </w:pPr>
            <w:r>
              <w:rPr>
                <w:rFonts w:hint="eastAsia"/>
                <w:b/>
                <w:bCs/>
                <w:iCs/>
                <w:sz w:val="20"/>
              </w:rPr>
              <w:t xml:space="preserve">Operation way </w:t>
            </w:r>
            <w:r>
              <w:rPr>
                <w:rFonts w:hint="eastAsia"/>
                <w:b/>
                <w:bCs/>
                <w:sz w:val="20"/>
              </w:rPr>
              <w:t>in the system</w:t>
            </w:r>
          </w:p>
        </w:tc>
        <w:tc>
          <w:tcPr>
            <w:tcW w:w="1165" w:type="dxa"/>
          </w:tcPr>
          <w:p>
            <w:pPr>
              <w:widowControl w:val="0"/>
              <w:spacing w:before="120" w:after="120"/>
              <w:rPr>
                <w:iCs/>
                <w:sz w:val="20"/>
              </w:rPr>
            </w:pPr>
            <w:r>
              <w:rPr>
                <w:rFonts w:hint="eastAsia"/>
                <w:b/>
                <w:bCs/>
                <w:iCs/>
                <w:sz w:val="20"/>
              </w:rPr>
              <w:t>TA value</w:t>
            </w:r>
          </w:p>
        </w:tc>
        <w:tc>
          <w:tcPr>
            <w:tcW w:w="1199" w:type="dxa"/>
          </w:tcPr>
          <w:p>
            <w:pPr>
              <w:widowControl w:val="0"/>
              <w:spacing w:before="120" w:after="120"/>
              <w:rPr>
                <w:iCs/>
                <w:sz w:val="20"/>
              </w:rPr>
            </w:pPr>
            <w:r>
              <w:rPr>
                <w:rFonts w:hint="eastAsia"/>
                <w:b/>
                <w:bCs/>
                <w:iCs/>
                <w:sz w:val="20"/>
              </w:rPr>
              <w:t>Alignment level</w:t>
            </w:r>
          </w:p>
        </w:tc>
        <w:tc>
          <w:tcPr>
            <w:tcW w:w="1201" w:type="dxa"/>
          </w:tcPr>
          <w:p>
            <w:pPr>
              <w:widowControl w:val="0"/>
              <w:spacing w:before="120" w:after="120"/>
              <w:rPr>
                <w:iCs/>
                <w:sz w:val="20"/>
              </w:rPr>
            </w:pPr>
            <w:r>
              <w:rPr>
                <w:rFonts w:hint="eastAsia"/>
                <w:b/>
                <w:bCs/>
                <w:iCs/>
                <w:sz w:val="20"/>
              </w:rPr>
              <w:t>DL-Tx timing</w:t>
            </w:r>
          </w:p>
        </w:tc>
        <w:tc>
          <w:tcPr>
            <w:tcW w:w="1202" w:type="dxa"/>
          </w:tcPr>
          <w:p>
            <w:pPr>
              <w:widowControl w:val="0"/>
              <w:spacing w:before="120" w:after="120"/>
              <w:rPr>
                <w:iCs/>
                <w:sz w:val="20"/>
              </w:rPr>
            </w:pPr>
            <w:r>
              <w:rPr>
                <w:rFonts w:hint="eastAsia"/>
                <w:b/>
                <w:bCs/>
                <w:iCs/>
                <w:sz w:val="20"/>
              </w:rPr>
              <w:t>UL-Tx timing</w:t>
            </w:r>
          </w:p>
        </w:tc>
        <w:tc>
          <w:tcPr>
            <w:tcW w:w="1156" w:type="dxa"/>
          </w:tcPr>
          <w:p>
            <w:pPr>
              <w:widowControl w:val="0"/>
              <w:spacing w:before="120" w:after="120"/>
              <w:rPr>
                <w:iCs/>
                <w:sz w:val="20"/>
              </w:rPr>
            </w:pPr>
            <w:r>
              <w:rPr>
                <w:rFonts w:hint="eastAsia"/>
                <w:b/>
                <w:bCs/>
                <w:iCs/>
                <w:sz w:val="20"/>
              </w:rPr>
              <w:t>Range of T_delta</w:t>
            </w:r>
          </w:p>
        </w:tc>
        <w:tc>
          <w:tcPr>
            <w:tcW w:w="1405" w:type="dxa"/>
          </w:tcPr>
          <w:p>
            <w:pPr>
              <w:widowControl w:val="0"/>
              <w:spacing w:before="120" w:after="120"/>
              <w:rPr>
                <w:iCs/>
                <w:sz w:val="20"/>
              </w:rPr>
            </w:pPr>
            <w:r>
              <w:rPr>
                <w:rFonts w:hint="eastAsia"/>
                <w:b/>
                <w:bCs/>
                <w:iCs/>
                <w:sz w:val="20"/>
              </w:rPr>
              <w:t>C</w:t>
            </w:r>
            <w:r>
              <w:rPr>
                <w:b/>
                <w:bCs/>
                <w:iCs/>
                <w:sz w:val="20"/>
              </w:rPr>
              <w:t>ompatibility</w:t>
            </w:r>
            <w:r>
              <w:rPr>
                <w:rFonts w:hint="eastAsia"/>
                <w:b/>
                <w:bCs/>
                <w:iCs/>
                <w:sz w:val="20"/>
              </w:rPr>
              <w:t xml:space="preserve"> of </w:t>
            </w:r>
            <w:r>
              <w:rPr>
                <w:b/>
                <w:bCs/>
                <w:iCs/>
                <w:sz w:val="20"/>
              </w:rPr>
              <w:t>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4" w:type="dxa"/>
            <w:vMerge w:val="restart"/>
          </w:tcPr>
          <w:p>
            <w:pPr>
              <w:widowControl w:val="0"/>
              <w:spacing w:before="120" w:after="120"/>
              <w:jc w:val="center"/>
              <w:rPr>
                <w:b/>
                <w:bCs/>
                <w:iCs/>
                <w:sz w:val="20"/>
              </w:rPr>
            </w:pPr>
            <w:r>
              <w:rPr>
                <w:rFonts w:hint="eastAsia"/>
                <w:iCs/>
                <w:sz w:val="20"/>
              </w:rPr>
              <w:t>Only case-7</w:t>
            </w:r>
          </w:p>
        </w:tc>
        <w:tc>
          <w:tcPr>
            <w:tcW w:w="1165" w:type="dxa"/>
            <w:vMerge w:val="restart"/>
          </w:tcPr>
          <w:p>
            <w:pPr>
              <w:widowControl w:val="0"/>
              <w:spacing w:before="120" w:after="120"/>
              <w:jc w:val="center"/>
              <w:rPr>
                <w:b/>
                <w:bCs/>
                <w:iCs/>
                <w:sz w:val="20"/>
              </w:rPr>
            </w:pPr>
            <w:r>
              <w:rPr>
                <w:rFonts w:hint="eastAsia"/>
                <w:iCs/>
                <w:sz w:val="20"/>
              </w:rPr>
              <w:t>In case of  potential negative TA</w:t>
            </w:r>
          </w:p>
        </w:tc>
        <w:tc>
          <w:tcPr>
            <w:tcW w:w="1199" w:type="dxa"/>
          </w:tcPr>
          <w:p>
            <w:pPr>
              <w:widowControl w:val="0"/>
              <w:spacing w:before="120" w:after="120"/>
              <w:rPr>
                <w:iCs/>
                <w:sz w:val="20"/>
              </w:rPr>
            </w:pPr>
            <w:r>
              <w:rPr>
                <w:rFonts w:hint="eastAsia"/>
                <w:iCs/>
                <w:sz w:val="20"/>
              </w:rPr>
              <w:t>Symbol level</w:t>
            </w:r>
          </w:p>
        </w:tc>
        <w:tc>
          <w:tcPr>
            <w:tcW w:w="1201" w:type="dxa"/>
          </w:tcPr>
          <w:p>
            <w:pPr>
              <w:widowControl w:val="0"/>
              <w:spacing w:before="120" w:after="120"/>
              <w:rPr>
                <w:iCs/>
                <w:sz w:val="20"/>
              </w:rPr>
            </w:pPr>
            <w:r>
              <w:rPr>
                <w:rFonts w:hint="eastAsia"/>
                <w:iCs/>
                <w:sz w:val="20"/>
              </w:rPr>
              <w:t>Similar as case-1</w:t>
            </w:r>
          </w:p>
        </w:tc>
        <w:tc>
          <w:tcPr>
            <w:tcW w:w="1202" w:type="dxa"/>
          </w:tcPr>
          <w:p>
            <w:pPr>
              <w:widowControl w:val="0"/>
              <w:spacing w:before="120" w:after="120"/>
              <w:rPr>
                <w:iCs/>
                <w:sz w:val="20"/>
              </w:rPr>
            </w:pPr>
            <w:r>
              <w:rPr>
                <w:rFonts w:hint="eastAsia"/>
                <w:iCs/>
                <w:sz w:val="20"/>
              </w:rPr>
              <w:t>Legacy TA mechanism</w:t>
            </w:r>
          </w:p>
        </w:tc>
        <w:tc>
          <w:tcPr>
            <w:tcW w:w="1156" w:type="dxa"/>
          </w:tcPr>
          <w:p>
            <w:pPr>
              <w:widowControl w:val="0"/>
              <w:spacing w:before="120" w:after="120"/>
              <w:rPr>
                <w:iCs/>
                <w:sz w:val="20"/>
              </w:rPr>
            </w:pPr>
            <w:r>
              <w:rPr>
                <w:rFonts w:hint="eastAsia"/>
                <w:iCs/>
                <w:sz w:val="20"/>
              </w:rPr>
              <w:t>Similar as case-1</w:t>
            </w:r>
          </w:p>
        </w:tc>
        <w:tc>
          <w:tcPr>
            <w:tcW w:w="1405" w:type="dxa"/>
          </w:tcPr>
          <w:p>
            <w:pPr>
              <w:widowControl w:val="0"/>
              <w:spacing w:before="120" w:after="120"/>
              <w:rPr>
                <w:iCs/>
                <w:sz w:val="20"/>
              </w:rPr>
            </w:pPr>
            <w:r>
              <w:rPr>
                <w:rFonts w:hint="eastAsia"/>
                <w:iCs/>
                <w:sz w:val="20"/>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4" w:type="dxa"/>
            <w:vMerge w:val="continue"/>
          </w:tcPr>
          <w:p>
            <w:pPr>
              <w:widowControl w:val="0"/>
              <w:spacing w:before="120" w:after="120"/>
              <w:jc w:val="center"/>
              <w:rPr>
                <w:b/>
                <w:bCs/>
                <w:iCs/>
                <w:sz w:val="20"/>
              </w:rPr>
            </w:pPr>
          </w:p>
        </w:tc>
        <w:tc>
          <w:tcPr>
            <w:tcW w:w="1165" w:type="dxa"/>
            <w:vMerge w:val="continue"/>
          </w:tcPr>
          <w:p>
            <w:pPr>
              <w:widowControl w:val="0"/>
              <w:spacing w:before="120" w:after="120"/>
              <w:jc w:val="center"/>
              <w:rPr>
                <w:b/>
                <w:bCs/>
                <w:iCs/>
                <w:sz w:val="20"/>
              </w:rPr>
            </w:pPr>
          </w:p>
        </w:tc>
        <w:tc>
          <w:tcPr>
            <w:tcW w:w="1199" w:type="dxa"/>
          </w:tcPr>
          <w:p>
            <w:pPr>
              <w:widowControl w:val="0"/>
              <w:spacing w:before="120" w:after="120"/>
              <w:rPr>
                <w:iCs/>
                <w:sz w:val="20"/>
              </w:rPr>
            </w:pPr>
            <w:r>
              <w:rPr>
                <w:rFonts w:hint="eastAsia"/>
                <w:iCs/>
                <w:sz w:val="20"/>
              </w:rPr>
              <w:t>Slot level</w:t>
            </w:r>
          </w:p>
        </w:tc>
        <w:tc>
          <w:tcPr>
            <w:tcW w:w="1201" w:type="dxa"/>
          </w:tcPr>
          <w:p>
            <w:pPr>
              <w:widowControl w:val="0"/>
              <w:spacing w:before="120" w:after="120"/>
              <w:rPr>
                <w:iCs/>
                <w:sz w:val="20"/>
              </w:rPr>
            </w:pPr>
            <w:r>
              <w:rPr>
                <w:rFonts w:hint="eastAsia"/>
                <w:iCs/>
                <w:sz w:val="20"/>
              </w:rPr>
              <w:t xml:space="preserve">To enhance OTA mechanism due to the next two columns </w:t>
            </w:r>
          </w:p>
        </w:tc>
        <w:tc>
          <w:tcPr>
            <w:tcW w:w="1202" w:type="dxa"/>
          </w:tcPr>
          <w:p>
            <w:pPr>
              <w:widowControl w:val="0"/>
              <w:spacing w:before="120" w:after="120"/>
              <w:rPr>
                <w:iCs/>
                <w:sz w:val="20"/>
              </w:rPr>
            </w:pPr>
            <w:r>
              <w:rPr>
                <w:rFonts w:hint="eastAsia"/>
                <w:iCs/>
                <w:sz w:val="20"/>
              </w:rPr>
              <w:t>New TA mechanism to resolve negative TA</w:t>
            </w:r>
          </w:p>
        </w:tc>
        <w:tc>
          <w:tcPr>
            <w:tcW w:w="1156" w:type="dxa"/>
          </w:tcPr>
          <w:p>
            <w:pPr>
              <w:widowControl w:val="0"/>
              <w:spacing w:before="120" w:after="120"/>
              <w:rPr>
                <w:iCs/>
                <w:sz w:val="20"/>
              </w:rPr>
            </w:pPr>
            <w:r>
              <w:rPr>
                <w:rFonts w:hint="eastAsia"/>
                <w:iCs/>
                <w:sz w:val="20"/>
              </w:rPr>
              <w:t>New range of T_delta</w:t>
            </w:r>
          </w:p>
        </w:tc>
        <w:tc>
          <w:tcPr>
            <w:tcW w:w="1405" w:type="dxa"/>
          </w:tcPr>
          <w:p>
            <w:pPr>
              <w:widowControl w:val="0"/>
              <w:spacing w:before="120" w:after="120"/>
              <w:rPr>
                <w:iCs/>
                <w:sz w:val="20"/>
              </w:rPr>
            </w:pPr>
            <w:r>
              <w:rPr>
                <w:rFonts w:hint="eastAsia"/>
                <w:iCs/>
                <w:sz w:val="20"/>
              </w:rPr>
              <w:t>Bad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4" w:type="dxa"/>
            <w:vMerge w:val="continue"/>
          </w:tcPr>
          <w:p>
            <w:pPr>
              <w:widowControl w:val="0"/>
              <w:spacing w:before="120" w:after="120"/>
              <w:jc w:val="center"/>
              <w:rPr>
                <w:b/>
                <w:bCs/>
                <w:iCs/>
                <w:sz w:val="20"/>
              </w:rPr>
            </w:pPr>
          </w:p>
        </w:tc>
        <w:tc>
          <w:tcPr>
            <w:tcW w:w="1165" w:type="dxa"/>
          </w:tcPr>
          <w:p>
            <w:pPr>
              <w:widowControl w:val="0"/>
              <w:spacing w:before="120" w:after="120"/>
              <w:rPr>
                <w:iCs/>
                <w:sz w:val="20"/>
              </w:rPr>
            </w:pPr>
            <w:r>
              <w:rPr>
                <w:rFonts w:hint="eastAsia"/>
                <w:iCs/>
                <w:sz w:val="20"/>
              </w:rPr>
              <w:t>In case of positive TA</w:t>
            </w:r>
          </w:p>
        </w:tc>
        <w:tc>
          <w:tcPr>
            <w:tcW w:w="1199" w:type="dxa"/>
          </w:tcPr>
          <w:p>
            <w:pPr>
              <w:widowControl w:val="0"/>
              <w:spacing w:before="120" w:after="120"/>
              <w:rPr>
                <w:iCs/>
                <w:sz w:val="20"/>
              </w:rPr>
            </w:pPr>
            <w:r>
              <w:rPr>
                <w:rFonts w:hint="eastAsia"/>
                <w:iCs/>
                <w:sz w:val="20"/>
              </w:rPr>
              <w:t>Slot level</w:t>
            </w:r>
          </w:p>
        </w:tc>
        <w:tc>
          <w:tcPr>
            <w:tcW w:w="1201" w:type="dxa"/>
          </w:tcPr>
          <w:p>
            <w:pPr>
              <w:widowControl w:val="0"/>
              <w:spacing w:before="120" w:after="120"/>
              <w:rPr>
                <w:iCs/>
                <w:sz w:val="20"/>
              </w:rPr>
            </w:pPr>
            <w:r>
              <w:rPr>
                <w:rFonts w:hint="eastAsia"/>
                <w:iCs/>
                <w:sz w:val="20"/>
              </w:rPr>
              <w:t>Similar as case-1</w:t>
            </w:r>
          </w:p>
        </w:tc>
        <w:tc>
          <w:tcPr>
            <w:tcW w:w="1202" w:type="dxa"/>
          </w:tcPr>
          <w:p>
            <w:pPr>
              <w:widowControl w:val="0"/>
              <w:spacing w:before="120" w:after="120"/>
              <w:rPr>
                <w:iCs/>
                <w:sz w:val="20"/>
              </w:rPr>
            </w:pPr>
            <w:r>
              <w:rPr>
                <w:rFonts w:hint="eastAsia"/>
                <w:iCs/>
                <w:sz w:val="20"/>
              </w:rPr>
              <w:t>Legacy TA mechanism</w:t>
            </w:r>
          </w:p>
        </w:tc>
        <w:tc>
          <w:tcPr>
            <w:tcW w:w="1156" w:type="dxa"/>
          </w:tcPr>
          <w:p>
            <w:pPr>
              <w:widowControl w:val="0"/>
              <w:spacing w:before="120" w:after="120"/>
              <w:rPr>
                <w:iCs/>
                <w:sz w:val="20"/>
              </w:rPr>
            </w:pPr>
            <w:r>
              <w:rPr>
                <w:rFonts w:hint="eastAsia"/>
                <w:iCs/>
                <w:sz w:val="20"/>
              </w:rPr>
              <w:t>Similar as case-1</w:t>
            </w:r>
          </w:p>
        </w:tc>
        <w:tc>
          <w:tcPr>
            <w:tcW w:w="1405" w:type="dxa"/>
          </w:tcPr>
          <w:p>
            <w:pPr>
              <w:widowControl w:val="0"/>
              <w:spacing w:before="120" w:after="120"/>
              <w:rPr>
                <w:iCs/>
                <w:sz w:val="20"/>
              </w:rPr>
            </w:pPr>
            <w:r>
              <w:rPr>
                <w:rFonts w:hint="eastAsia"/>
                <w:iCs/>
                <w:sz w:val="20"/>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4" w:type="dxa"/>
          </w:tcPr>
          <w:p>
            <w:pPr>
              <w:widowControl w:val="0"/>
              <w:spacing w:before="120" w:after="120"/>
              <w:jc w:val="center"/>
              <w:rPr>
                <w:b/>
                <w:bCs/>
                <w:iCs/>
                <w:sz w:val="20"/>
              </w:rPr>
            </w:pPr>
            <w:r>
              <w:rPr>
                <w:rFonts w:hint="eastAsia"/>
                <w:iCs/>
                <w:sz w:val="20"/>
              </w:rPr>
              <w:t>TDM case-1 + 7</w:t>
            </w:r>
          </w:p>
        </w:tc>
        <w:tc>
          <w:tcPr>
            <w:tcW w:w="1165" w:type="dxa"/>
          </w:tcPr>
          <w:p>
            <w:pPr>
              <w:widowControl w:val="0"/>
              <w:spacing w:before="120" w:after="120"/>
              <w:rPr>
                <w:iCs/>
                <w:sz w:val="20"/>
              </w:rPr>
            </w:pPr>
            <w:r>
              <w:rPr>
                <w:rFonts w:hint="eastAsia"/>
                <w:iCs/>
                <w:sz w:val="20"/>
              </w:rPr>
              <w:t>Positive TA for case-1;</w:t>
            </w:r>
          </w:p>
          <w:p>
            <w:pPr>
              <w:widowControl w:val="0"/>
              <w:spacing w:before="120" w:after="120"/>
              <w:rPr>
                <w:iCs/>
                <w:sz w:val="20"/>
              </w:rPr>
            </w:pPr>
            <w:r>
              <w:rPr>
                <w:rFonts w:hint="eastAsia"/>
                <w:iCs/>
                <w:sz w:val="20"/>
              </w:rPr>
              <w:t>Potential negative TA for case-7</w:t>
            </w:r>
          </w:p>
        </w:tc>
        <w:tc>
          <w:tcPr>
            <w:tcW w:w="1199" w:type="dxa"/>
          </w:tcPr>
          <w:p>
            <w:pPr>
              <w:widowControl w:val="0"/>
              <w:spacing w:before="120" w:after="120"/>
              <w:rPr>
                <w:iCs/>
                <w:sz w:val="20"/>
              </w:rPr>
            </w:pPr>
            <w:r>
              <w:rPr>
                <w:rFonts w:hint="eastAsia"/>
                <w:iCs/>
                <w:sz w:val="20"/>
              </w:rPr>
              <w:t>Slot level</w:t>
            </w:r>
          </w:p>
        </w:tc>
        <w:tc>
          <w:tcPr>
            <w:tcW w:w="1201" w:type="dxa"/>
          </w:tcPr>
          <w:p>
            <w:pPr>
              <w:widowControl w:val="0"/>
              <w:spacing w:before="120" w:after="120"/>
              <w:rPr>
                <w:iCs/>
                <w:sz w:val="20"/>
              </w:rPr>
            </w:pPr>
            <w:r>
              <w:rPr>
                <w:rFonts w:hint="eastAsia"/>
                <w:iCs/>
                <w:sz w:val="20"/>
              </w:rPr>
              <w:t>By case-1</w:t>
            </w:r>
          </w:p>
        </w:tc>
        <w:tc>
          <w:tcPr>
            <w:tcW w:w="1202" w:type="dxa"/>
          </w:tcPr>
          <w:p>
            <w:pPr>
              <w:widowControl w:val="0"/>
              <w:spacing w:before="120" w:after="120"/>
              <w:rPr>
                <w:iCs/>
                <w:sz w:val="20"/>
              </w:rPr>
            </w:pPr>
            <w:r>
              <w:rPr>
                <w:rFonts w:hint="eastAsia"/>
                <w:iCs/>
                <w:sz w:val="20"/>
              </w:rPr>
              <w:t>The same TA command between case-1 and case-7</w:t>
            </w:r>
          </w:p>
        </w:tc>
        <w:tc>
          <w:tcPr>
            <w:tcW w:w="1156" w:type="dxa"/>
          </w:tcPr>
          <w:p>
            <w:pPr>
              <w:widowControl w:val="0"/>
              <w:spacing w:before="120" w:after="120"/>
              <w:rPr>
                <w:iCs/>
                <w:sz w:val="20"/>
              </w:rPr>
            </w:pPr>
            <w:r>
              <w:rPr>
                <w:rFonts w:hint="eastAsia"/>
                <w:iCs/>
                <w:sz w:val="20"/>
              </w:rPr>
              <w:t>Similar as case-1 when case-1;</w:t>
            </w:r>
          </w:p>
          <w:p>
            <w:pPr>
              <w:widowControl w:val="0"/>
              <w:spacing w:before="120" w:after="120"/>
              <w:rPr>
                <w:iCs/>
                <w:sz w:val="20"/>
              </w:rPr>
            </w:pPr>
            <w:r>
              <w:rPr>
                <w:rFonts w:hint="eastAsia"/>
                <w:iCs/>
                <w:sz w:val="20"/>
              </w:rPr>
              <w:t>No concept on T_delta when case-7</w:t>
            </w:r>
          </w:p>
        </w:tc>
        <w:tc>
          <w:tcPr>
            <w:tcW w:w="1405" w:type="dxa"/>
          </w:tcPr>
          <w:p>
            <w:pPr>
              <w:widowControl w:val="0"/>
              <w:spacing w:before="120" w:after="120"/>
              <w:rPr>
                <w:iCs/>
                <w:sz w:val="20"/>
              </w:rPr>
            </w:pPr>
            <w:r>
              <w:rPr>
                <w:rFonts w:hint="eastAsia"/>
                <w:iCs/>
                <w:sz w:val="20"/>
              </w:rPr>
              <w:t>Yes for the slots operating with case-1</w:t>
            </w:r>
          </w:p>
        </w:tc>
      </w:tr>
    </w:tbl>
    <w:p>
      <w:pPr>
        <w:spacing w:before="120" w:after="120"/>
        <w:rPr>
          <w:sz w:val="20"/>
        </w:rPr>
      </w:pPr>
      <w:r>
        <w:rPr>
          <w:rFonts w:hint="eastAsia"/>
          <w:iCs/>
          <w:sz w:val="20"/>
        </w:rPr>
        <w:t>Regarding the issues listed in Table 2, in the case of only case-7 timing applied, for slot level alignment, t</w:t>
      </w:r>
      <w:r>
        <w:rPr>
          <w:sz w:val="20"/>
        </w:rPr>
        <w:t xml:space="preserve">o </w:t>
      </w:r>
      <w:r>
        <w:rPr>
          <w:rFonts w:hint="eastAsia"/>
          <w:sz w:val="20"/>
        </w:rPr>
        <w:t xml:space="preserve">get </w:t>
      </w:r>
      <w:r>
        <w:rPr>
          <w:sz w:val="20"/>
        </w:rPr>
        <w:t xml:space="preserve">the desired negative TA value, </w:t>
      </w:r>
      <w:r>
        <w:rPr>
          <w:rFonts w:hint="eastAsia"/>
          <w:iCs/>
          <w:sz w:val="20"/>
        </w:rPr>
        <w:t xml:space="preserve">one way by adjusting to achieve a negative value multiple rounds will </w:t>
      </w:r>
      <w:r>
        <w:rPr>
          <w:sz w:val="20"/>
        </w:rPr>
        <w:t>require a long</w:t>
      </w:r>
      <w:r>
        <w:rPr>
          <w:rFonts w:hint="eastAsia"/>
          <w:sz w:val="20"/>
        </w:rPr>
        <w:t xml:space="preserve"> term</w:t>
      </w:r>
      <w:r>
        <w:rPr>
          <w:sz w:val="20"/>
        </w:rPr>
        <w:t xml:space="preserve"> adjustment process</w:t>
      </w:r>
      <w:r>
        <w:rPr>
          <w:rFonts w:hint="eastAsia"/>
          <w:sz w:val="20"/>
        </w:rPr>
        <w:t>,</w:t>
      </w:r>
      <w:r>
        <w:rPr>
          <w:sz w:val="20"/>
        </w:rPr>
        <w:t xml:space="preserve"> which</w:t>
      </w:r>
      <w:r>
        <w:rPr>
          <w:rFonts w:hint="eastAsia"/>
          <w:sz w:val="20"/>
        </w:rPr>
        <w:t xml:space="preserve"> would</w:t>
      </w:r>
      <w:r>
        <w:rPr>
          <w:sz w:val="20"/>
        </w:rPr>
        <w:t xml:space="preserve"> result in more overhead</w:t>
      </w:r>
      <w:r>
        <w:rPr>
          <w:rFonts w:hint="eastAsia"/>
          <w:sz w:val="20"/>
        </w:rPr>
        <w:t xml:space="preserve"> and </w:t>
      </w:r>
      <w:r>
        <w:rPr>
          <w:sz w:val="20"/>
        </w:rPr>
        <w:t>larger</w:t>
      </w:r>
      <w:r>
        <w:rPr>
          <w:rFonts w:hint="eastAsia"/>
          <w:sz w:val="20"/>
        </w:rPr>
        <w:t xml:space="preserve"> delay </w:t>
      </w:r>
      <w:r>
        <w:rPr>
          <w:sz w:val="20"/>
        </w:rPr>
        <w:t xml:space="preserve">of </w:t>
      </w:r>
      <w:r>
        <w:rPr>
          <w:rFonts w:hint="eastAsia"/>
          <w:sz w:val="20"/>
        </w:rPr>
        <w:t xml:space="preserve">multiple </w:t>
      </w:r>
      <w:r>
        <w:rPr>
          <w:sz w:val="20"/>
        </w:rPr>
        <w:t>TA commands</w:t>
      </w:r>
      <w:r>
        <w:rPr>
          <w:rFonts w:hint="eastAsia"/>
          <w:sz w:val="20"/>
        </w:rPr>
        <w:t>.</w:t>
      </w:r>
      <w:r>
        <w:rPr>
          <w:sz w:val="20"/>
        </w:rPr>
        <w:t xml:space="preserve"> </w:t>
      </w:r>
      <w:r>
        <w:rPr>
          <w:iCs/>
          <w:sz w:val="20"/>
        </w:rPr>
        <w:t xml:space="preserve">Therefore, </w:t>
      </w:r>
      <w:r>
        <w:rPr>
          <w:rFonts w:hint="eastAsia"/>
          <w:iCs/>
          <w:sz w:val="20"/>
        </w:rPr>
        <w:t xml:space="preserve">slot level alignment seems </w:t>
      </w:r>
      <w:r>
        <w:rPr>
          <w:iCs/>
          <w:sz w:val="20"/>
        </w:rPr>
        <w:t>inefficient to resolve negative TA issue at UEs.</w:t>
      </w:r>
      <w:r>
        <w:rPr>
          <w:rFonts w:hint="eastAsia"/>
          <w:iCs/>
          <w:sz w:val="20"/>
        </w:rPr>
        <w:t xml:space="preserve"> For symbol level alignment, one or more symbols shift can be used to overcome the negative TA issue. And </w:t>
      </w:r>
      <w:r>
        <w:rPr>
          <w:rFonts w:hint="eastAsia"/>
          <w:sz w:val="20"/>
        </w:rPr>
        <w:t>slot level alignment can be regarded as a case of symbol level alignment with zero symbol shift. In a word, symbol level alignment seems more flexible than slot level alignment.</w:t>
      </w:r>
    </w:p>
    <w:p>
      <w:pPr>
        <w:spacing w:before="120" w:after="120"/>
        <w:rPr>
          <w:iCs/>
          <w:sz w:val="20"/>
        </w:rPr>
      </w:pPr>
      <w:r>
        <w:rPr>
          <w:rFonts w:hint="eastAsia"/>
          <w:sz w:val="20"/>
        </w:rPr>
        <w:t>Alternatively,</w:t>
      </w:r>
      <w:r>
        <w:rPr>
          <w:rFonts w:hint="eastAsia"/>
          <w:iCs/>
          <w:sz w:val="20"/>
        </w:rPr>
        <w:t xml:space="preserve"> TDMed case-1 timing + case-7 timing could also be used to avoid potential negative TA issue for legacy access UEs. For IAB-MT, based on case-1 timing, IAB-MT can adjust its TA for case-7 timing by the TA for case-1 timing with a time offset. </w:t>
      </w:r>
    </w:p>
    <w:p>
      <w:pPr>
        <w:spacing w:before="120" w:after="120"/>
        <w:rPr>
          <w:sz w:val="20"/>
        </w:rPr>
      </w:pPr>
      <w:r>
        <w:rPr>
          <w:rFonts w:hint="eastAsia"/>
          <w:sz w:val="20"/>
        </w:rPr>
        <w:t>Based on the above analysis, we have the following observation and proposal related to case-7 timing.</w:t>
      </w:r>
    </w:p>
    <w:p>
      <w:pPr>
        <w:pStyle w:val="28"/>
        <w:spacing w:before="120" w:after="120"/>
        <w:rPr>
          <w:lang w:val="en-US" w:eastAsia="zh-CN"/>
        </w:rPr>
      </w:pPr>
      <w:bookmarkStart w:id="24" w:name="_Toc61861937"/>
      <w:r>
        <w:rPr>
          <w:lang w:val="en-US" w:eastAsia="zh-CN"/>
        </w:rPr>
        <w:t>S</w:t>
      </w:r>
      <w:r>
        <w:rPr>
          <w:rFonts w:hint="eastAsia"/>
        </w:rPr>
        <w:t>lot level alignment</w:t>
      </w:r>
      <w:r>
        <w:t xml:space="preserve"> </w:t>
      </w:r>
      <w:r>
        <w:rPr>
          <w:rFonts w:hint="eastAsia"/>
        </w:rPr>
        <w:t xml:space="preserve">of case-7 timing may </w:t>
      </w:r>
      <w:r>
        <w:rPr>
          <w:rFonts w:hint="eastAsia"/>
          <w:lang w:val="en-US" w:eastAsia="zh-CN"/>
        </w:rPr>
        <w:t xml:space="preserve">require </w:t>
      </w:r>
      <w:r>
        <w:rPr>
          <w:rFonts w:hint="eastAsia"/>
        </w:rPr>
        <w:t xml:space="preserve">more </w:t>
      </w:r>
      <w:r>
        <w:rPr>
          <w:rFonts w:hint="eastAsia"/>
          <w:lang w:val="en-US" w:eastAsia="zh-CN"/>
        </w:rPr>
        <w:t xml:space="preserve">specification work and have </w:t>
      </w:r>
      <w:r>
        <w:rPr>
          <w:rFonts w:hint="eastAsia"/>
        </w:rPr>
        <w:t xml:space="preserve">compatibility issues with legacy access </w:t>
      </w:r>
      <w:r>
        <w:t>UEs</w:t>
      </w:r>
      <w:r>
        <w:rPr>
          <w:rFonts w:hint="eastAsia"/>
          <w:lang w:val="en-US" w:eastAsia="zh-CN"/>
        </w:rPr>
        <w:t>.</w:t>
      </w:r>
      <w:bookmarkEnd w:id="24"/>
      <w:r>
        <w:rPr>
          <w:rFonts w:hint="eastAsia"/>
          <w:lang w:val="en-US" w:eastAsia="zh-CN"/>
        </w:rPr>
        <w:t xml:space="preserve">  </w:t>
      </w:r>
    </w:p>
    <w:p>
      <w:pPr>
        <w:pStyle w:val="27"/>
        <w:spacing w:before="120" w:after="120"/>
        <w:rPr>
          <w:lang w:val="en-US" w:eastAsia="zh-CN"/>
        </w:rPr>
      </w:pPr>
      <w:bookmarkStart w:id="25" w:name="_Toc61861917"/>
      <w:bookmarkStart w:id="26" w:name="_Toc21903"/>
      <w:bookmarkStart w:id="27" w:name="_Toc8166"/>
      <w:bookmarkStart w:id="28" w:name="_Toc8785"/>
      <w:bookmarkStart w:id="29" w:name="_Toc287"/>
      <w:r>
        <w:rPr>
          <w:rFonts w:hint="eastAsia"/>
          <w:lang w:val="en-US" w:eastAsia="zh-CN"/>
        </w:rPr>
        <w:t xml:space="preserve">To </w:t>
      </w:r>
      <w:r>
        <w:t>resolve potential negative TA issue of case-7 timing</w:t>
      </w:r>
      <w:r>
        <w:rPr>
          <w:rFonts w:hint="eastAsia"/>
          <w:lang w:val="en-US" w:eastAsia="zh-CN"/>
        </w:rPr>
        <w:t>, the following solutions could be further discussed:</w:t>
      </w:r>
      <w:bookmarkEnd w:id="25"/>
      <w:bookmarkEnd w:id="26"/>
      <w:bookmarkEnd w:id="27"/>
      <w:bookmarkEnd w:id="28"/>
      <w:bookmarkEnd w:id="29"/>
      <w:r>
        <w:rPr>
          <w:rFonts w:hint="eastAsia"/>
          <w:lang w:val="en-US" w:eastAsia="zh-CN"/>
        </w:rPr>
        <w:t xml:space="preserve"> </w:t>
      </w:r>
    </w:p>
    <w:p>
      <w:pPr>
        <w:pStyle w:val="29"/>
        <w:tabs>
          <w:tab w:val="left" w:pos="420"/>
        </w:tabs>
        <w:spacing w:before="120" w:after="120"/>
        <w:ind w:left="822" w:hanging="402"/>
        <w:rPr>
          <w:lang w:val="en-US" w:eastAsia="zh-CN"/>
        </w:rPr>
      </w:pPr>
      <w:bookmarkStart w:id="30" w:name="_Toc19817"/>
      <w:bookmarkStart w:id="31" w:name="_Toc12952"/>
      <w:bookmarkStart w:id="32" w:name="_Toc22955"/>
      <w:bookmarkStart w:id="33" w:name="_Toc61861918"/>
      <w:bookmarkStart w:id="34" w:name="_Toc8612"/>
      <w:r>
        <w:t xml:space="preserve">Symbol level </w:t>
      </w:r>
      <w:r>
        <w:rPr>
          <w:rFonts w:hint="eastAsia"/>
        </w:rPr>
        <w:t xml:space="preserve">alignment </w:t>
      </w:r>
      <w:r>
        <w:t>between IAB node’s UL-Rx timing and DL-Rx timing</w:t>
      </w:r>
      <w:bookmarkEnd w:id="30"/>
      <w:bookmarkEnd w:id="31"/>
      <w:bookmarkEnd w:id="32"/>
      <w:bookmarkEnd w:id="33"/>
      <w:bookmarkEnd w:id="34"/>
      <w:r>
        <w:rPr>
          <w:rFonts w:hint="eastAsia"/>
          <w:lang w:val="en-US" w:eastAsia="zh-CN"/>
        </w:rPr>
        <w:t xml:space="preserve">   </w:t>
      </w:r>
    </w:p>
    <w:p>
      <w:pPr>
        <w:pStyle w:val="29"/>
        <w:tabs>
          <w:tab w:val="left" w:pos="420"/>
        </w:tabs>
        <w:spacing w:before="120" w:after="120"/>
        <w:ind w:left="822" w:hanging="402"/>
        <w:rPr>
          <w:lang w:val="en-US" w:eastAsia="zh-CN"/>
        </w:rPr>
      </w:pPr>
      <w:bookmarkStart w:id="35" w:name="_Toc31648"/>
      <w:bookmarkStart w:id="36" w:name="_Toc24605"/>
      <w:bookmarkStart w:id="37" w:name="_Toc15290"/>
      <w:bookmarkStart w:id="38" w:name="_Toc61861919"/>
      <w:bookmarkStart w:id="39" w:name="_Toc26067"/>
      <w:r>
        <w:rPr>
          <w:rFonts w:hint="eastAsia"/>
          <w:lang w:val="en-US" w:eastAsia="zh-CN"/>
        </w:rPr>
        <w:t>Case-1 timing and case-7 timing operating in TDMed mode</w:t>
      </w:r>
      <w:bookmarkEnd w:id="35"/>
      <w:bookmarkEnd w:id="36"/>
      <w:bookmarkEnd w:id="37"/>
      <w:bookmarkEnd w:id="38"/>
      <w:bookmarkEnd w:id="39"/>
    </w:p>
    <w:p>
      <w:pPr>
        <w:pStyle w:val="4"/>
        <w:spacing w:before="120" w:after="120"/>
        <w:ind w:right="210"/>
        <w:rPr>
          <w:rFonts w:ascii="Arial" w:hAnsi="Arial" w:cs="Arial"/>
          <w:szCs w:val="22"/>
        </w:rPr>
      </w:pPr>
      <w:r>
        <w:rPr>
          <w:rFonts w:hint="eastAsia" w:ascii="Arial" w:hAnsi="Arial" w:cs="Arial"/>
        </w:rPr>
        <w:t>2.2 Power control/sharing</w:t>
      </w:r>
      <w:r>
        <w:rPr>
          <w:rFonts w:ascii="Arial" w:hAnsi="Arial" w:cs="Arial"/>
        </w:rPr>
        <w:t xml:space="preserve"> for simultaneous </w:t>
      </w:r>
      <w:r>
        <w:rPr>
          <w:rFonts w:ascii="Arial" w:hAnsi="Arial" w:cs="Arial"/>
          <w:szCs w:val="22"/>
        </w:rPr>
        <w:t>operation</w:t>
      </w:r>
    </w:p>
    <w:p>
      <w:pPr>
        <w:spacing w:before="120" w:after="120"/>
        <w:rPr>
          <w:sz w:val="20"/>
        </w:rPr>
      </w:pPr>
      <w:r>
        <w:rPr>
          <w:rFonts w:hint="eastAsia"/>
          <w:sz w:val="20"/>
        </w:rPr>
        <w:t>RAN1#103-e provided the following agreements</w:t>
      </w:r>
      <w:r>
        <w:rPr>
          <w:sz w:val="20"/>
        </w:rPr>
        <w:t xml:space="preserve"> </w:t>
      </w:r>
      <w:r>
        <w:rPr>
          <w:rFonts w:hint="eastAsia"/>
          <w:sz w:val="20"/>
        </w:rPr>
        <w:t>on power control/sharing for simultaneous operation [2].</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sz w:val="20"/>
                <w:highlight w:val="green"/>
              </w:rPr>
            </w:pPr>
            <w:r>
              <w:rPr>
                <w:sz w:val="20"/>
                <w:highlight w:val="green"/>
              </w:rPr>
              <w:t>Agreement</w:t>
            </w:r>
          </w:p>
          <w:p>
            <w:pPr>
              <w:widowControl w:val="0"/>
              <w:spacing w:before="120" w:after="120"/>
              <w:rPr>
                <w:rFonts w:eastAsia="Calibri"/>
                <w:sz w:val="20"/>
              </w:rPr>
            </w:pPr>
            <w:r>
              <w:rPr>
                <w:rFonts w:eastAsia="Calibri"/>
                <w:sz w:val="20"/>
              </w:rPr>
              <w:t>Further study requirement of enhanced DL and UL Tx power control mechanism considering the following: </w:t>
            </w:r>
          </w:p>
          <w:p>
            <w:pPr>
              <w:pStyle w:val="32"/>
              <w:widowControl w:val="0"/>
              <w:numPr>
                <w:ilvl w:val="0"/>
                <w:numId w:val="11"/>
              </w:numPr>
              <w:spacing w:after="120"/>
              <w:textAlignment w:val="baseline"/>
              <w:rPr>
                <w:rFonts w:eastAsia="Calibri" w:cs="Times"/>
                <w:bCs/>
                <w:sz w:val="20"/>
                <w:szCs w:val="20"/>
              </w:rPr>
            </w:pPr>
            <w:r>
              <w:rPr>
                <w:rFonts w:eastAsia="Calibri" w:cs="Times"/>
                <w:bCs/>
                <w:sz w:val="20"/>
                <w:szCs w:val="20"/>
              </w:rPr>
              <w:t>DL/UL power control with assistance information from the child node.</w:t>
            </w:r>
          </w:p>
          <w:p>
            <w:pPr>
              <w:pStyle w:val="32"/>
              <w:widowControl w:val="0"/>
              <w:numPr>
                <w:ilvl w:val="0"/>
                <w:numId w:val="11"/>
              </w:numPr>
              <w:spacing w:after="120"/>
              <w:textAlignment w:val="baseline"/>
              <w:rPr>
                <w:rFonts w:eastAsia="Calibri" w:cs="Times"/>
                <w:bCs/>
                <w:sz w:val="20"/>
                <w:szCs w:val="20"/>
              </w:rPr>
            </w:pPr>
            <w:r>
              <w:rPr>
                <w:rFonts w:eastAsia="Calibri" w:cs="Times"/>
                <w:bCs/>
                <w:sz w:val="20"/>
                <w:szCs w:val="20"/>
              </w:rPr>
              <w:t>DL/UL power control with assistance information from the parent node.</w:t>
            </w:r>
          </w:p>
          <w:p>
            <w:pPr>
              <w:pStyle w:val="32"/>
              <w:widowControl w:val="0"/>
              <w:numPr>
                <w:ilvl w:val="0"/>
                <w:numId w:val="11"/>
              </w:numPr>
              <w:spacing w:after="120"/>
              <w:textAlignment w:val="baseline"/>
              <w:rPr>
                <w:rFonts w:eastAsia="Calibri" w:cs="Times"/>
                <w:bCs/>
                <w:sz w:val="20"/>
                <w:szCs w:val="20"/>
              </w:rPr>
            </w:pPr>
            <w:r>
              <w:rPr>
                <w:rFonts w:eastAsia="Calibri" w:cs="Times"/>
                <w:bCs/>
                <w:sz w:val="20"/>
                <w:szCs w:val="20"/>
              </w:rPr>
              <w:t>Central (e.g. by CU) power control coordination (e.g. semi-static max DL/UL Tx power limits).</w:t>
            </w:r>
          </w:p>
          <w:p>
            <w:pPr>
              <w:pStyle w:val="32"/>
              <w:widowControl w:val="0"/>
              <w:numPr>
                <w:ilvl w:val="0"/>
                <w:numId w:val="11"/>
              </w:numPr>
              <w:spacing w:after="120"/>
              <w:textAlignment w:val="baseline"/>
              <w:rPr>
                <w:rFonts w:eastAsia="Calibri" w:cs="Times"/>
                <w:bCs/>
                <w:sz w:val="20"/>
                <w:szCs w:val="20"/>
              </w:rPr>
            </w:pPr>
            <w:r>
              <w:rPr>
                <w:rFonts w:eastAsia="Calibri" w:cs="Times"/>
                <w:bCs/>
                <w:sz w:val="20"/>
                <w:szCs w:val="20"/>
              </w:rPr>
              <w:t>Coexistence of different power control mechanisms within an IAB node and in the network.</w:t>
            </w:r>
          </w:p>
          <w:p>
            <w:pPr>
              <w:widowControl w:val="0"/>
              <w:spacing w:before="120" w:after="120"/>
              <w:rPr>
                <w:rFonts w:eastAsia="Calibri"/>
                <w:sz w:val="20"/>
              </w:rPr>
            </w:pPr>
            <w:r>
              <w:rPr>
                <w:rFonts w:eastAsia="Calibri"/>
                <w:sz w:val="20"/>
              </w:rPr>
              <w:t>Note. Any power control mechanism should consider the following aspects:</w:t>
            </w:r>
          </w:p>
          <w:p>
            <w:pPr>
              <w:pStyle w:val="32"/>
              <w:widowControl w:val="0"/>
              <w:numPr>
                <w:ilvl w:val="0"/>
                <w:numId w:val="11"/>
              </w:numPr>
              <w:spacing w:after="120"/>
              <w:textAlignment w:val="baseline"/>
              <w:rPr>
                <w:rFonts w:eastAsia="Calibri" w:cs="Times"/>
                <w:bCs/>
                <w:sz w:val="20"/>
                <w:szCs w:val="20"/>
              </w:rPr>
            </w:pPr>
            <w:r>
              <w:rPr>
                <w:rFonts w:eastAsia="Calibri" w:cs="Times"/>
                <w:bCs/>
                <w:sz w:val="20"/>
                <w:szCs w:val="20"/>
              </w:rPr>
              <w:t>Existing base station design principles (e.g. power control and dynamic range capability, etc.) related to transmission power.</w:t>
            </w:r>
          </w:p>
          <w:p>
            <w:pPr>
              <w:pStyle w:val="32"/>
              <w:widowControl w:val="0"/>
              <w:numPr>
                <w:ilvl w:val="0"/>
                <w:numId w:val="11"/>
              </w:numPr>
              <w:spacing w:after="120"/>
              <w:textAlignment w:val="baseline"/>
              <w:rPr>
                <w:rFonts w:eastAsia="Calibri" w:cs="Times"/>
                <w:bCs/>
                <w:sz w:val="20"/>
                <w:szCs w:val="20"/>
              </w:rPr>
            </w:pPr>
            <w:r>
              <w:rPr>
                <w:rFonts w:eastAsia="Calibri" w:cs="Times"/>
                <w:bCs/>
                <w:sz w:val="20"/>
                <w:szCs w:val="20"/>
              </w:rPr>
              <w:t>Network constraints in regard to transmitted reference signals with constant power.</w:t>
            </w:r>
          </w:p>
          <w:p>
            <w:pPr>
              <w:widowControl w:val="0"/>
              <w:spacing w:before="120" w:after="120"/>
              <w:rPr>
                <w:sz w:val="20"/>
              </w:rPr>
            </w:pPr>
          </w:p>
        </w:tc>
      </w:tr>
    </w:tbl>
    <w:p>
      <w:pPr>
        <w:spacing w:before="120" w:after="120"/>
        <w:rPr>
          <w:sz w:val="20"/>
        </w:rPr>
      </w:pPr>
      <w:r>
        <w:rPr>
          <w:rFonts w:hint="eastAsia"/>
          <w:sz w:val="20"/>
        </w:rPr>
        <w:t>For an IAB node, it is observed that enhanced DL and UL Tx power control should be further studied in Rel-17.</w:t>
      </w:r>
    </w:p>
    <w:p>
      <w:pPr>
        <w:spacing w:before="120" w:after="120"/>
        <w:rPr>
          <w:b/>
          <w:i/>
          <w:sz w:val="20"/>
          <w:u w:val="single"/>
        </w:rPr>
      </w:pPr>
      <w:r>
        <w:rPr>
          <w:rFonts w:hint="eastAsia"/>
          <w:b/>
          <w:i/>
          <w:sz w:val="20"/>
          <w:u w:val="single"/>
        </w:rPr>
        <w:t>DL p</w:t>
      </w:r>
      <w:r>
        <w:rPr>
          <w:b/>
          <w:i/>
          <w:sz w:val="20"/>
          <w:u w:val="single"/>
        </w:rPr>
        <w:t xml:space="preserve">ower </w:t>
      </w:r>
      <w:r>
        <w:rPr>
          <w:rFonts w:hint="eastAsia"/>
          <w:b/>
          <w:i/>
          <w:sz w:val="20"/>
          <w:u w:val="single"/>
        </w:rPr>
        <w:t>control for IAB-DU</w:t>
      </w:r>
    </w:p>
    <w:p>
      <w:pPr>
        <w:spacing w:before="120" w:after="120"/>
        <w:rPr>
          <w:sz w:val="20"/>
        </w:rPr>
      </w:pPr>
      <w:r>
        <w:rPr>
          <w:sz w:val="20"/>
        </w:rPr>
        <w:t>Similar to UL power control</w:t>
      </w:r>
      <w:r>
        <w:rPr>
          <w:rFonts w:hint="eastAsia"/>
          <w:sz w:val="20"/>
        </w:rPr>
        <w:t xml:space="preserve"> of NR access UEs, the parameters used for DL power control of IAB-DU should be associated with beam information. In </w:t>
      </w:r>
      <w:r>
        <w:rPr>
          <w:sz w:val="20"/>
        </w:rPr>
        <w:t>practice</w:t>
      </w:r>
      <w:r>
        <w:rPr>
          <w:rFonts w:hint="eastAsia"/>
          <w:sz w:val="20"/>
        </w:rPr>
        <w:t>,</w:t>
      </w:r>
      <w:r>
        <w:rPr>
          <w:sz w:val="20"/>
        </w:rPr>
        <w:t xml:space="preserve"> </w:t>
      </w:r>
      <w:r>
        <w:rPr>
          <w:rFonts w:hint="eastAsia"/>
          <w:sz w:val="20"/>
        </w:rPr>
        <w:t>DU can use different beams in different time and this would lead to different RX power and DL pathloss at its child node.</w:t>
      </w:r>
    </w:p>
    <w:p>
      <w:pPr>
        <w:pStyle w:val="27"/>
        <w:spacing w:before="120" w:after="120"/>
        <w:rPr>
          <w:lang w:val="en-US" w:eastAsia="zh-CN"/>
        </w:rPr>
      </w:pPr>
      <w:bookmarkStart w:id="40" w:name="_Toc6496"/>
      <w:bookmarkStart w:id="41" w:name="_Toc23713"/>
      <w:bookmarkStart w:id="42" w:name="_Toc9985"/>
      <w:bookmarkStart w:id="43" w:name="_Toc61861920"/>
      <w:bookmarkStart w:id="44" w:name="_Toc29428"/>
      <w:r>
        <w:rPr>
          <w:rFonts w:hint="eastAsia"/>
        </w:rPr>
        <w:t>Beam depended DL power control of IAB-DU should be considered</w:t>
      </w:r>
      <w:r>
        <w:rPr>
          <w:rFonts w:hint="eastAsia"/>
          <w:lang w:val="en-US" w:eastAsia="zh-CN"/>
        </w:rPr>
        <w:t>, IAB-DU provides DL power control parameters and associated beam information to child-MTs</w:t>
      </w:r>
      <w:r>
        <w:rPr>
          <w:rFonts w:hint="eastAsia"/>
        </w:rPr>
        <w:t xml:space="preserve"> (e.g.</w:t>
      </w:r>
      <w:r>
        <w:t>,</w:t>
      </w:r>
      <w:r>
        <w:rPr>
          <w:rFonts w:hint="eastAsia"/>
        </w:rPr>
        <w:t xml:space="preserve"> different PC parameters could be associated with different TCI states, or CSI-RSs)</w:t>
      </w:r>
      <w:r>
        <w:rPr>
          <w:rFonts w:hint="eastAsia"/>
          <w:lang w:val="en-US" w:eastAsia="zh-CN"/>
        </w:rPr>
        <w:t>.</w:t>
      </w:r>
      <w:bookmarkEnd w:id="40"/>
      <w:bookmarkEnd w:id="41"/>
      <w:bookmarkEnd w:id="42"/>
      <w:bookmarkEnd w:id="43"/>
      <w:bookmarkEnd w:id="44"/>
      <w:r>
        <w:rPr>
          <w:rFonts w:hint="eastAsia"/>
          <w:lang w:val="en-US" w:eastAsia="zh-CN"/>
        </w:rPr>
        <w:t xml:space="preserve"> </w:t>
      </w:r>
    </w:p>
    <w:p>
      <w:pPr>
        <w:spacing w:before="120" w:after="120"/>
        <w:rPr>
          <w:sz w:val="20"/>
        </w:rPr>
      </w:pPr>
      <w:r>
        <w:rPr>
          <w:rFonts w:hint="eastAsia"/>
          <w:sz w:val="20"/>
        </w:rPr>
        <w:t>For simultaneous DU-Rx/MT-Rx at child node, the child node can indicate expected DL Rx power (or equivalent parameters) to its parent node to ensure Rx power balance. Similar to DL power control information provided by IAB-DU to child-MTs, expected DL Rx power should be also associated with beam information.</w:t>
      </w:r>
    </w:p>
    <w:p>
      <w:pPr>
        <w:pStyle w:val="27"/>
        <w:spacing w:before="120" w:after="120"/>
        <w:rPr>
          <w:lang w:val="en-US" w:eastAsia="zh-CN"/>
        </w:rPr>
      </w:pPr>
      <w:bookmarkStart w:id="45" w:name="_Toc25096"/>
      <w:bookmarkStart w:id="46" w:name="_Toc17309"/>
      <w:bookmarkStart w:id="47" w:name="_Toc11789"/>
      <w:bookmarkStart w:id="48" w:name="_Toc61861921"/>
      <w:bookmarkStart w:id="49" w:name="_Toc32184"/>
      <w:r>
        <w:rPr>
          <w:rFonts w:hint="eastAsia"/>
        </w:rPr>
        <w:t>Expected DL Rx power level</w:t>
      </w:r>
      <w:r>
        <w:rPr>
          <w:lang w:val="en-US"/>
        </w:rPr>
        <w:t xml:space="preserve"> </w:t>
      </w:r>
      <w:r>
        <w:rPr>
          <w:rFonts w:hint="eastAsia"/>
          <w:lang w:val="en-US" w:eastAsia="zh-CN"/>
        </w:rPr>
        <w:t>(</w:t>
      </w:r>
      <w:r>
        <w:rPr>
          <w:lang w:val="en-US"/>
        </w:rPr>
        <w:t xml:space="preserve">or </w:t>
      </w:r>
      <w:r>
        <w:rPr>
          <w:rFonts w:hint="eastAsia"/>
        </w:rPr>
        <w:t>equivalent parameters</w:t>
      </w:r>
      <w:r>
        <w:rPr>
          <w:rFonts w:hint="eastAsia"/>
          <w:lang w:val="en-US" w:eastAsia="zh-CN"/>
        </w:rPr>
        <w:t>)</w:t>
      </w:r>
      <w:r>
        <w:rPr>
          <w:rFonts w:hint="eastAsia"/>
        </w:rPr>
        <w:t xml:space="preserve"> </w:t>
      </w:r>
      <w:r>
        <w:rPr>
          <w:rFonts w:hint="eastAsia"/>
          <w:lang w:val="en-US" w:eastAsia="zh-CN"/>
        </w:rPr>
        <w:t xml:space="preserve">and associated beam information </w:t>
      </w:r>
      <w:r>
        <w:rPr>
          <w:rFonts w:hint="eastAsia"/>
        </w:rPr>
        <w:t xml:space="preserve">could be indicated </w:t>
      </w:r>
      <w:r>
        <w:rPr>
          <w:rFonts w:hint="eastAsia"/>
          <w:lang w:val="en-US" w:eastAsia="zh-CN"/>
        </w:rPr>
        <w:t>by</w:t>
      </w:r>
      <w:r>
        <w:rPr>
          <w:rFonts w:hint="eastAsia"/>
        </w:rPr>
        <w:t xml:space="preserve"> child node to IAB node to assist the DL power control of IAB-DU</w:t>
      </w:r>
      <w:r>
        <w:rPr>
          <w:rFonts w:hint="eastAsia"/>
          <w:lang w:val="en-US" w:eastAsia="zh-CN"/>
        </w:rPr>
        <w:t>.</w:t>
      </w:r>
      <w:bookmarkEnd w:id="45"/>
      <w:bookmarkEnd w:id="46"/>
      <w:bookmarkEnd w:id="47"/>
      <w:bookmarkEnd w:id="48"/>
      <w:bookmarkEnd w:id="49"/>
      <w:r>
        <w:rPr>
          <w:rFonts w:hint="eastAsia"/>
          <w:lang w:val="en-US" w:eastAsia="zh-CN"/>
        </w:rPr>
        <w:t xml:space="preserve"> </w:t>
      </w:r>
    </w:p>
    <w:p>
      <w:pPr>
        <w:spacing w:before="120" w:after="120"/>
        <w:rPr>
          <w:sz w:val="20"/>
        </w:rPr>
      </w:pPr>
      <w:r>
        <w:rPr>
          <w:rFonts w:hint="eastAsia"/>
          <w:sz w:val="20"/>
        </w:rPr>
        <w:t>For simultaneous DU-Tx/MT-Tx at IAB node, if MT Tx on backhaul link and DU Tx on access link operate simultaneously and share the same power amplifier, power sharing/coordination between the two links needs to be studied to ensure Tx power balance and keep the total Tx power not higher than the total maximum allowed Tx power. If the total Tx power exceeds the total maximum allowed Tx power of IAB node, some assist information is necessary to control Tx power. For example, the CU can provide maximum allowed power for UL Tx power of IAB-MT and maximum allowed power for DL Tx power of IAB-DU to IAB node to determine the actual Tx power.</w:t>
      </w:r>
    </w:p>
    <w:p>
      <w:pPr>
        <w:pStyle w:val="27"/>
        <w:spacing w:before="120" w:after="120"/>
        <w:rPr>
          <w:lang w:val="en-US" w:eastAsia="zh-CN"/>
        </w:rPr>
      </w:pPr>
      <w:bookmarkStart w:id="50" w:name="_Toc8319"/>
      <w:bookmarkStart w:id="51" w:name="_Toc30293"/>
      <w:bookmarkStart w:id="52" w:name="_Toc774"/>
      <w:bookmarkStart w:id="53" w:name="_Toc15627"/>
      <w:bookmarkStart w:id="54" w:name="_Toc61861922"/>
      <w:r>
        <w:rPr>
          <w:rFonts w:hint="eastAsia"/>
          <w:lang w:val="en-US" w:eastAsia="zh-CN"/>
        </w:rPr>
        <w:t xml:space="preserve">For an IAB node, </w:t>
      </w:r>
      <w:r>
        <w:rPr>
          <w:rFonts w:hint="eastAsia"/>
        </w:rPr>
        <w:t xml:space="preserve">maximum </w:t>
      </w:r>
      <w:r>
        <w:rPr>
          <w:rFonts w:hint="eastAsia"/>
          <w:lang w:val="en-US" w:eastAsia="zh-CN"/>
        </w:rPr>
        <w:t xml:space="preserve">allowed </w:t>
      </w:r>
      <w:r>
        <w:rPr>
          <w:rFonts w:hint="eastAsia"/>
        </w:rPr>
        <w:t xml:space="preserve">power for </w:t>
      </w:r>
      <w:r>
        <w:rPr>
          <w:rFonts w:hint="eastAsia"/>
          <w:lang w:val="en-US" w:eastAsia="zh-CN"/>
        </w:rPr>
        <w:t xml:space="preserve">UL Tx power of IAB-MT and </w:t>
      </w:r>
      <w:r>
        <w:rPr>
          <w:rFonts w:hint="eastAsia"/>
        </w:rPr>
        <w:t xml:space="preserve">maximum </w:t>
      </w:r>
      <w:r>
        <w:rPr>
          <w:rFonts w:hint="eastAsia"/>
          <w:lang w:val="en-US" w:eastAsia="zh-CN"/>
        </w:rPr>
        <w:t xml:space="preserve">allowed </w:t>
      </w:r>
      <w:r>
        <w:rPr>
          <w:rFonts w:hint="eastAsia"/>
        </w:rPr>
        <w:t xml:space="preserve">power for </w:t>
      </w:r>
      <w:r>
        <w:rPr>
          <w:rFonts w:hint="eastAsia"/>
          <w:lang w:val="en-US" w:eastAsia="zh-CN"/>
        </w:rPr>
        <w:t>DL Tx power of IAB-DU can be</w:t>
      </w:r>
      <w:r>
        <w:rPr>
          <w:rFonts w:hint="eastAsia"/>
        </w:rPr>
        <w:t xml:space="preserve"> respectively configured by CU</w:t>
      </w:r>
      <w:r>
        <w:rPr>
          <w:rFonts w:hint="eastAsia"/>
          <w:lang w:val="en-US" w:eastAsia="zh-CN"/>
        </w:rPr>
        <w:t>.</w:t>
      </w:r>
      <w:bookmarkEnd w:id="50"/>
      <w:bookmarkEnd w:id="51"/>
      <w:bookmarkEnd w:id="52"/>
      <w:bookmarkEnd w:id="53"/>
      <w:bookmarkEnd w:id="54"/>
      <w:r>
        <w:rPr>
          <w:rFonts w:hint="eastAsia"/>
          <w:lang w:val="en-US" w:eastAsia="zh-CN"/>
        </w:rPr>
        <w:t xml:space="preserve"> </w:t>
      </w:r>
    </w:p>
    <w:p>
      <w:pPr>
        <w:spacing w:before="120" w:after="120"/>
        <w:rPr>
          <w:b/>
          <w:i/>
          <w:sz w:val="20"/>
          <w:u w:val="single"/>
        </w:rPr>
      </w:pPr>
      <w:r>
        <w:rPr>
          <w:rFonts w:hint="eastAsia"/>
          <w:b/>
          <w:i/>
          <w:sz w:val="20"/>
          <w:u w:val="single"/>
        </w:rPr>
        <w:t>UL p</w:t>
      </w:r>
      <w:r>
        <w:rPr>
          <w:b/>
          <w:i/>
          <w:sz w:val="20"/>
          <w:u w:val="single"/>
        </w:rPr>
        <w:t xml:space="preserve">ower </w:t>
      </w:r>
      <w:r>
        <w:rPr>
          <w:rFonts w:hint="eastAsia"/>
          <w:b/>
          <w:i/>
          <w:sz w:val="20"/>
          <w:u w:val="single"/>
        </w:rPr>
        <w:t>control for child-MT</w:t>
      </w:r>
    </w:p>
    <w:p>
      <w:pPr>
        <w:spacing w:before="120" w:after="120"/>
        <w:rPr>
          <w:sz w:val="20"/>
        </w:rPr>
      </w:pPr>
      <w:r>
        <w:rPr>
          <w:rFonts w:hint="eastAsia"/>
          <w:sz w:val="20"/>
        </w:rPr>
        <w:t>For UL power control, the power control mechanism of NR access UE can be reused for MT to minimize the impact on specification.</w:t>
      </w:r>
    </w:p>
    <w:p>
      <w:pPr>
        <w:pStyle w:val="27"/>
        <w:spacing w:before="120" w:after="120"/>
        <w:rPr>
          <w:lang w:val="en-US" w:eastAsia="zh-CN"/>
        </w:rPr>
      </w:pPr>
      <w:bookmarkStart w:id="55" w:name="_Toc61861923"/>
      <w:bookmarkStart w:id="56" w:name="_Toc2509"/>
      <w:bookmarkStart w:id="57" w:name="_Toc7433"/>
      <w:bookmarkStart w:id="58" w:name="_Toc32001"/>
      <w:bookmarkStart w:id="59" w:name="_Toc8791"/>
      <w:r>
        <w:rPr>
          <w:rFonts w:hint="eastAsia"/>
        </w:rPr>
        <w:t xml:space="preserve">UL power control mechanism of NR access UE can be </w:t>
      </w:r>
      <w:r>
        <w:rPr>
          <w:rFonts w:hint="eastAsia"/>
          <w:lang w:val="en-US" w:eastAsia="zh-CN"/>
        </w:rPr>
        <w:t>re</w:t>
      </w:r>
      <w:r>
        <w:rPr>
          <w:rFonts w:hint="eastAsia"/>
        </w:rPr>
        <w:t>used for MT</w:t>
      </w:r>
      <w:r>
        <w:rPr>
          <w:rFonts w:hint="eastAsia"/>
          <w:lang w:val="en-US" w:eastAsia="zh-CN"/>
        </w:rPr>
        <w:t>.</w:t>
      </w:r>
      <w:bookmarkEnd w:id="55"/>
      <w:bookmarkEnd w:id="56"/>
      <w:bookmarkEnd w:id="57"/>
      <w:bookmarkEnd w:id="58"/>
      <w:bookmarkEnd w:id="59"/>
      <w:r>
        <w:rPr>
          <w:rFonts w:hint="eastAsia"/>
          <w:lang w:val="en-US" w:eastAsia="zh-CN"/>
        </w:rPr>
        <w:t xml:space="preserve"> </w:t>
      </w:r>
    </w:p>
    <w:p>
      <w:pPr>
        <w:spacing w:before="120" w:after="120"/>
        <w:rPr>
          <w:sz w:val="20"/>
        </w:rPr>
      </w:pPr>
      <w:r>
        <w:rPr>
          <w:rFonts w:hint="eastAsia"/>
          <w:sz w:val="20"/>
        </w:rPr>
        <w:t xml:space="preserve">For simultaneous DU-Tx/MT-Tx at child node, power sharing/coordination needs to be considered. In this case, the maximum allowed Tx power for child-MT is limited by the maximum allowed Tx power of child node and DL Tx power for child-DU. While parent link and child link of child node are multiplexing in TDM manner, the maximum allowed Tx power for child-MT can equal to the maximum allowed Tx power of child node to make full use of power resources. Therefore, for different multiplexing scenarios or time resources child-MT may have different maximum allowed Tx power. </w:t>
      </w:r>
    </w:p>
    <w:p>
      <w:pPr>
        <w:spacing w:before="120" w:after="120"/>
        <w:rPr>
          <w:sz w:val="20"/>
        </w:rPr>
      </w:pPr>
      <w:r>
        <w:rPr>
          <w:rFonts w:hint="eastAsia"/>
          <w:sz w:val="20"/>
        </w:rPr>
        <w:t>For an IAB node performing simultaneous DU-Rx/MT-Rx, it can control UL Tx power of child-MT based on estimated DL Rx power to ensure Rx power balance.</w:t>
      </w:r>
    </w:p>
    <w:p>
      <w:pPr>
        <w:pStyle w:val="27"/>
        <w:spacing w:before="120" w:after="120"/>
        <w:rPr>
          <w:lang w:val="en-US" w:eastAsia="zh-CN"/>
        </w:rPr>
      </w:pPr>
      <w:bookmarkStart w:id="60" w:name="_Toc19125"/>
      <w:bookmarkStart w:id="61" w:name="_Toc23266"/>
      <w:bookmarkStart w:id="62" w:name="_Toc14931"/>
      <w:bookmarkStart w:id="63" w:name="_Toc61861924"/>
      <w:bookmarkStart w:id="64" w:name="_Toc371"/>
      <w:r>
        <w:rPr>
          <w:rFonts w:hint="eastAsia"/>
        </w:rPr>
        <w:t xml:space="preserve">For UL power control of child-MT, different maximum allowed Tx power </w:t>
      </w:r>
      <w:r>
        <w:rPr>
          <w:rFonts w:hint="eastAsia"/>
          <w:lang w:val="en-US" w:eastAsia="zh-CN"/>
        </w:rPr>
        <w:t>per</w:t>
      </w:r>
      <w:r>
        <w:rPr>
          <w:rFonts w:hint="eastAsia"/>
        </w:rPr>
        <w:t xml:space="preserve"> multiplexing scenarios or time </w:t>
      </w:r>
      <w:r>
        <w:rPr>
          <w:rFonts w:hint="eastAsia"/>
          <w:lang w:val="en-US" w:eastAsia="zh-CN"/>
        </w:rPr>
        <w:t xml:space="preserve">domain </w:t>
      </w:r>
      <w:r>
        <w:rPr>
          <w:rFonts w:hint="eastAsia"/>
        </w:rPr>
        <w:t>resources</w:t>
      </w:r>
      <w:r>
        <w:rPr>
          <w:rFonts w:hint="eastAsia"/>
          <w:lang w:val="en-US" w:eastAsia="zh-CN"/>
        </w:rPr>
        <w:t xml:space="preserve"> </w:t>
      </w:r>
      <w:r>
        <w:rPr>
          <w:rFonts w:hint="eastAsia"/>
        </w:rPr>
        <w:t xml:space="preserve">can be </w:t>
      </w:r>
      <w:r>
        <w:rPr>
          <w:rFonts w:hint="eastAsia"/>
          <w:lang w:val="en-US" w:eastAsia="zh-CN"/>
        </w:rPr>
        <w:t>reported</w:t>
      </w:r>
      <w:r>
        <w:rPr>
          <w:rFonts w:hint="eastAsia"/>
        </w:rPr>
        <w:t xml:space="preserve"> </w:t>
      </w:r>
      <w:r>
        <w:rPr>
          <w:rFonts w:hint="eastAsia"/>
          <w:lang w:val="en-US" w:eastAsia="zh-CN"/>
        </w:rPr>
        <w:t xml:space="preserve">by child MT </w:t>
      </w:r>
      <w:r>
        <w:rPr>
          <w:rFonts w:hint="eastAsia"/>
        </w:rPr>
        <w:t>to IAB node</w:t>
      </w:r>
      <w:r>
        <w:rPr>
          <w:rFonts w:hint="eastAsia"/>
          <w:lang w:val="en-US" w:eastAsia="zh-CN"/>
        </w:rPr>
        <w:t>.</w:t>
      </w:r>
      <w:bookmarkEnd w:id="60"/>
      <w:bookmarkEnd w:id="61"/>
      <w:bookmarkEnd w:id="62"/>
      <w:bookmarkEnd w:id="63"/>
      <w:bookmarkEnd w:id="64"/>
      <w:r>
        <w:rPr>
          <w:rFonts w:hint="eastAsia"/>
          <w:lang w:val="en-US" w:eastAsia="zh-CN"/>
        </w:rPr>
        <w:t xml:space="preserve"> </w:t>
      </w:r>
    </w:p>
    <w:p>
      <w:pPr>
        <w:pStyle w:val="4"/>
        <w:spacing w:before="120" w:after="120"/>
        <w:ind w:right="210"/>
        <w:rPr>
          <w:rFonts w:ascii="Arial" w:hAnsi="Arial" w:cs="Arial"/>
          <w:szCs w:val="22"/>
        </w:rPr>
      </w:pPr>
      <w:r>
        <w:rPr>
          <w:rFonts w:hint="eastAsia" w:ascii="Arial" w:hAnsi="Arial" w:cs="Arial"/>
        </w:rPr>
        <w:t xml:space="preserve">2.3 </w:t>
      </w:r>
      <w:r>
        <w:rPr>
          <w:rFonts w:ascii="Arial" w:hAnsi="Arial" w:cs="Arial"/>
          <w:szCs w:val="22"/>
        </w:rPr>
        <w:t>CLI and interference measurements for simultaneous operation</w:t>
      </w:r>
    </w:p>
    <w:p>
      <w:pPr>
        <w:spacing w:before="120" w:after="120"/>
        <w:rPr>
          <w:sz w:val="20"/>
        </w:rPr>
      </w:pPr>
      <w:r>
        <w:rPr>
          <w:rFonts w:hint="eastAsia"/>
          <w:sz w:val="20"/>
        </w:rPr>
        <w:t>RAN1#103-e provided the following interference scenarios for discussion [2].</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rFonts w:cs="Times"/>
                <w:b/>
                <w:bCs/>
                <w:sz w:val="20"/>
                <w:highlight w:val="green"/>
              </w:rPr>
            </w:pPr>
            <w:r>
              <w:rPr>
                <w:rFonts w:cs="Times"/>
                <w:b/>
                <w:bCs/>
                <w:sz w:val="20"/>
                <w:highlight w:val="green"/>
              </w:rPr>
              <w:t>Agreement</w:t>
            </w:r>
            <w:r>
              <w:rPr>
                <w:sz w:val="20"/>
              </w:rPr>
              <w:t xml:space="preserve"> [RAN1 #</w:t>
            </w:r>
            <w:r>
              <w:rPr>
                <w:rFonts w:hint="eastAsia"/>
                <w:sz w:val="20"/>
              </w:rPr>
              <w:t>103-e</w:t>
            </w:r>
            <w:r>
              <w:rPr>
                <w:sz w:val="20"/>
              </w:rPr>
              <w:t>]:</w:t>
            </w:r>
          </w:p>
          <w:p>
            <w:pPr>
              <w:widowControl w:val="0"/>
              <w:spacing w:before="120" w:after="120"/>
              <w:rPr>
                <w:rFonts w:eastAsia="Calibri" w:cs="Times"/>
                <w:color w:val="000000"/>
                <w:sz w:val="20"/>
              </w:rPr>
            </w:pPr>
            <w:r>
              <w:rPr>
                <w:rFonts w:eastAsia="Calibri" w:cs="Times"/>
                <w:color w:val="000000"/>
                <w:sz w:val="20"/>
              </w:rPr>
              <w:t xml:space="preserve">Interference management for the following IAB interference scenarios should be discussed: </w:t>
            </w:r>
          </w:p>
          <w:p>
            <w:pPr>
              <w:pStyle w:val="32"/>
              <w:widowControl w:val="0"/>
              <w:numPr>
                <w:ilvl w:val="0"/>
                <w:numId w:val="11"/>
              </w:numPr>
              <w:spacing w:after="120"/>
              <w:textAlignment w:val="baseline"/>
              <w:rPr>
                <w:rFonts w:eastAsia="Calibri" w:cs="Times"/>
                <w:color w:val="000000"/>
                <w:sz w:val="20"/>
                <w:szCs w:val="20"/>
              </w:rPr>
            </w:pPr>
            <w:r>
              <w:rPr>
                <w:rFonts w:eastAsia="Calibri" w:cs="Times"/>
                <w:color w:val="000000"/>
                <w:sz w:val="20"/>
                <w:szCs w:val="20"/>
              </w:rPr>
              <w:t xml:space="preserve">Inter-IAB scenarios, including: </w:t>
            </w:r>
          </w:p>
          <w:p>
            <w:pPr>
              <w:pStyle w:val="32"/>
              <w:widowControl w:val="0"/>
              <w:numPr>
                <w:ilvl w:val="1"/>
                <w:numId w:val="11"/>
              </w:numPr>
              <w:spacing w:after="120"/>
              <w:textAlignment w:val="baseline"/>
              <w:rPr>
                <w:rFonts w:eastAsia="Calibri" w:cs="Times"/>
                <w:color w:val="000000"/>
                <w:sz w:val="20"/>
                <w:szCs w:val="20"/>
              </w:rPr>
            </w:pPr>
            <w:r>
              <w:rPr>
                <w:rFonts w:eastAsia="Calibri" w:cs="Times"/>
                <w:color w:val="000000"/>
                <w:sz w:val="20"/>
                <w:szCs w:val="20"/>
              </w:rPr>
              <w:t>MT to MT, DU to DU, DU to MT, and MT to DU.</w:t>
            </w:r>
          </w:p>
          <w:p>
            <w:pPr>
              <w:pStyle w:val="32"/>
              <w:widowControl w:val="0"/>
              <w:numPr>
                <w:ilvl w:val="0"/>
                <w:numId w:val="11"/>
              </w:numPr>
              <w:spacing w:after="120"/>
              <w:textAlignment w:val="baseline"/>
              <w:rPr>
                <w:rFonts w:eastAsia="Calibri" w:cs="Times"/>
                <w:color w:val="000000"/>
                <w:sz w:val="20"/>
                <w:szCs w:val="20"/>
              </w:rPr>
            </w:pPr>
            <w:r>
              <w:rPr>
                <w:rFonts w:eastAsia="Calibri" w:cs="Times"/>
                <w:color w:val="000000"/>
                <w:sz w:val="20"/>
                <w:szCs w:val="20"/>
              </w:rPr>
              <w:t>Interference to non-IAB nodes, including:</w:t>
            </w:r>
          </w:p>
          <w:p>
            <w:pPr>
              <w:pStyle w:val="32"/>
              <w:widowControl/>
              <w:numPr>
                <w:ilvl w:val="1"/>
                <w:numId w:val="11"/>
              </w:numPr>
              <w:spacing w:after="120"/>
              <w:textAlignment w:val="baseline"/>
              <w:rPr>
                <w:rFonts w:eastAsia="Calibri" w:cs="Times"/>
                <w:color w:val="000000"/>
                <w:sz w:val="20"/>
                <w:szCs w:val="20"/>
                <w:lang w:val="fr-FR"/>
              </w:rPr>
            </w:pPr>
            <w:r>
              <w:rPr>
                <w:rFonts w:eastAsia="Calibri" w:cs="Times"/>
                <w:color w:val="000000"/>
                <w:sz w:val="20"/>
                <w:szCs w:val="20"/>
                <w:lang w:val="fr-FR"/>
              </w:rPr>
              <w:t>IAB-DU to non-IAB-DU</w:t>
            </w:r>
          </w:p>
          <w:p>
            <w:pPr>
              <w:pStyle w:val="32"/>
              <w:widowControl w:val="0"/>
              <w:numPr>
                <w:ilvl w:val="1"/>
                <w:numId w:val="11"/>
              </w:numPr>
              <w:spacing w:after="120"/>
              <w:textAlignment w:val="baseline"/>
              <w:rPr>
                <w:rFonts w:eastAsia="Calibri" w:cs="Times"/>
                <w:color w:val="000000"/>
                <w:sz w:val="20"/>
                <w:szCs w:val="20"/>
              </w:rPr>
            </w:pPr>
            <w:r>
              <w:rPr>
                <w:rFonts w:eastAsia="Calibri" w:cs="Times"/>
                <w:color w:val="000000"/>
                <w:sz w:val="20"/>
                <w:szCs w:val="20"/>
              </w:rPr>
              <w:t>IAB-MT to non-IAB-DU</w:t>
            </w:r>
          </w:p>
          <w:p>
            <w:pPr>
              <w:pStyle w:val="32"/>
              <w:widowControl w:val="0"/>
              <w:numPr>
                <w:ilvl w:val="0"/>
                <w:numId w:val="11"/>
              </w:numPr>
              <w:spacing w:after="120"/>
              <w:textAlignment w:val="baseline"/>
              <w:rPr>
                <w:rFonts w:eastAsia="Calibri" w:cs="Times"/>
                <w:color w:val="000000"/>
                <w:sz w:val="20"/>
                <w:szCs w:val="20"/>
              </w:rPr>
            </w:pPr>
            <w:r>
              <w:rPr>
                <w:rFonts w:eastAsia="Calibri" w:cs="Times"/>
                <w:color w:val="000000"/>
                <w:sz w:val="20"/>
                <w:szCs w:val="20"/>
              </w:rPr>
              <w:t>Intra-IAB-node (self-interference) scenarios (Interference between a DU and MT of an IAB-node).</w:t>
            </w:r>
          </w:p>
          <w:p>
            <w:pPr>
              <w:widowControl w:val="0"/>
              <w:spacing w:before="120" w:after="120"/>
              <w:rPr>
                <w:rFonts w:eastAsia="Calibri" w:cs="Times"/>
                <w:bCs/>
                <w:sz w:val="20"/>
              </w:rPr>
            </w:pPr>
            <w:r>
              <w:rPr>
                <w:rFonts w:eastAsia="Calibri" w:cs="Times"/>
                <w:bCs/>
                <w:sz w:val="20"/>
              </w:rPr>
              <w:t>This agreement does not necessarily mean that specification support is needed for any of the scenarios.</w:t>
            </w:r>
          </w:p>
          <w:p>
            <w:pPr>
              <w:widowControl w:val="0"/>
              <w:spacing w:before="120" w:after="120"/>
              <w:rPr>
                <w:sz w:val="20"/>
              </w:rPr>
            </w:pPr>
          </w:p>
        </w:tc>
      </w:tr>
    </w:tbl>
    <w:p>
      <w:pPr>
        <w:spacing w:before="120" w:after="120"/>
        <w:rPr>
          <w:sz w:val="20"/>
        </w:rPr>
      </w:pPr>
      <w:r>
        <w:rPr>
          <w:rFonts w:hint="eastAsia"/>
          <w:sz w:val="20"/>
        </w:rPr>
        <w:t xml:space="preserve">For inter-IAB interference scenarios, some examples of the adjacent node interference are depicted in Figure 1. </w:t>
      </w:r>
    </w:p>
    <w:p>
      <w:pPr>
        <w:spacing w:before="120" w:after="120"/>
        <w:jc w:val="center"/>
        <w:rPr>
          <w:sz w:val="20"/>
        </w:rPr>
      </w:pPr>
      <w:r>
        <w:object>
          <v:shape id="_x0000_i1025" o:spt="75" type="#_x0000_t75" style="height:191.5pt;width:483pt;" o:ole="t" filled="f" o:preferrelative="t" stroked="f" coordsize="21600,21600">
            <v:path/>
            <v:fill on="f" focussize="0,0"/>
            <v:stroke on="f" joinstyle="miter"/>
            <v:imagedata r:id="rId11" o:title=""/>
            <o:lock v:ext="edit" aspectratio="t"/>
            <w10:wrap type="none"/>
            <w10:anchorlock/>
          </v:shape>
          <o:OLEObject Type="Embed" ProgID="Visio.Drawing.11" ShapeID="_x0000_i1025" DrawAspect="Content" ObjectID="_1468075725" r:id="rId10">
            <o:LockedField>false</o:LockedField>
          </o:OLEObject>
        </w:object>
      </w:r>
    </w:p>
    <w:p>
      <w:pPr>
        <w:spacing w:before="120" w:after="120"/>
        <w:jc w:val="center"/>
        <w:rPr>
          <w:sz w:val="20"/>
        </w:rPr>
      </w:pPr>
      <w:r>
        <w:rPr>
          <w:rFonts w:hint="eastAsia"/>
          <w:sz w:val="20"/>
        </w:rPr>
        <w:t xml:space="preserve">Figure 1. </w:t>
      </w:r>
      <w:r>
        <w:rPr>
          <w:sz w:val="20"/>
        </w:rPr>
        <w:t>A</w:t>
      </w:r>
      <w:r>
        <w:rPr>
          <w:rFonts w:hint="eastAsia"/>
          <w:sz w:val="20"/>
        </w:rPr>
        <w:t>djacent node interference cases</w:t>
      </w:r>
    </w:p>
    <w:p>
      <w:pPr>
        <w:spacing w:before="120" w:after="120"/>
        <w:rPr>
          <w:sz w:val="20"/>
        </w:rPr>
      </w:pPr>
      <w:r>
        <w:rPr>
          <w:rFonts w:hint="eastAsia"/>
          <w:sz w:val="20"/>
        </w:rPr>
        <w:t xml:space="preserve">To estimate the interference related to multiplexing Case A (simultaneous MT-Tx/DU-Tx) and multiplexing Case B (simultaneous MT-Rx/DU-Rx), four types of interference as illustrated in Figure 1 should be focused on.  </w:t>
      </w:r>
    </w:p>
    <w:p>
      <w:pPr>
        <w:pStyle w:val="27"/>
        <w:spacing w:before="120" w:after="120"/>
        <w:rPr>
          <w:lang w:val="en-US" w:eastAsia="zh-CN"/>
        </w:rPr>
      </w:pPr>
      <w:bookmarkStart w:id="65" w:name="_Toc23064"/>
      <w:bookmarkStart w:id="66" w:name="_Toc3239"/>
      <w:bookmarkStart w:id="67" w:name="_Toc15114"/>
      <w:bookmarkStart w:id="68" w:name="_Toc61861925"/>
      <w:bookmarkStart w:id="69" w:name="_Toc31276"/>
      <w:r>
        <w:rPr>
          <w:rFonts w:hint="eastAsia"/>
        </w:rPr>
        <w:t>For adjacent</w:t>
      </w:r>
      <w:r>
        <w:rPr>
          <w:rFonts w:hint="eastAsia"/>
          <w:lang w:val="en-US" w:eastAsia="zh-CN"/>
        </w:rPr>
        <w:t xml:space="preserve"> node</w:t>
      </w:r>
      <w:r>
        <w:rPr>
          <w:rFonts w:hint="eastAsia"/>
        </w:rPr>
        <w:t xml:space="preserve"> interference, </w:t>
      </w:r>
      <w:r>
        <w:rPr>
          <w:rFonts w:hint="eastAsia"/>
          <w:lang w:val="en-US" w:eastAsia="zh-CN"/>
        </w:rPr>
        <w:t xml:space="preserve">the following </w:t>
      </w:r>
      <w:r>
        <w:rPr>
          <w:rFonts w:hint="eastAsia"/>
        </w:rPr>
        <w:t xml:space="preserve">interference management </w:t>
      </w:r>
      <w:r>
        <w:rPr>
          <w:rFonts w:hint="eastAsia"/>
          <w:lang w:val="en-US" w:eastAsia="zh-CN"/>
        </w:rPr>
        <w:t>should be focused on:</w:t>
      </w:r>
      <w:bookmarkEnd w:id="65"/>
      <w:bookmarkEnd w:id="66"/>
      <w:bookmarkEnd w:id="67"/>
      <w:bookmarkEnd w:id="68"/>
      <w:bookmarkEnd w:id="69"/>
      <w:r>
        <w:rPr>
          <w:rFonts w:hint="eastAsia"/>
          <w:lang w:val="en-US" w:eastAsia="zh-CN"/>
        </w:rPr>
        <w:t xml:space="preserve"> </w:t>
      </w:r>
    </w:p>
    <w:p>
      <w:pPr>
        <w:pStyle w:val="29"/>
        <w:tabs>
          <w:tab w:val="left" w:pos="420"/>
        </w:tabs>
        <w:spacing w:before="120" w:after="120"/>
        <w:ind w:left="822" w:hanging="402"/>
        <w:rPr>
          <w:lang w:val="en-US" w:eastAsia="zh-CN"/>
        </w:rPr>
      </w:pPr>
      <w:bookmarkStart w:id="70" w:name="_Toc8689"/>
      <w:bookmarkStart w:id="71" w:name="_Toc23816"/>
      <w:bookmarkStart w:id="72" w:name="_Toc17631"/>
      <w:bookmarkStart w:id="73" w:name="_Toc61861926"/>
      <w:bookmarkStart w:id="74" w:name="_Toc11812"/>
      <w:r>
        <w:rPr>
          <w:rFonts w:hint="eastAsia"/>
          <w:lang w:val="en-US" w:eastAsia="zh-CN"/>
        </w:rPr>
        <w:t>IAB-MT Tx interfering child MT Rx</w:t>
      </w:r>
      <w:bookmarkEnd w:id="70"/>
      <w:bookmarkEnd w:id="71"/>
      <w:bookmarkEnd w:id="72"/>
      <w:bookmarkEnd w:id="73"/>
      <w:bookmarkEnd w:id="74"/>
    </w:p>
    <w:p>
      <w:pPr>
        <w:pStyle w:val="29"/>
        <w:tabs>
          <w:tab w:val="left" w:pos="420"/>
        </w:tabs>
        <w:spacing w:before="120" w:after="120"/>
        <w:ind w:left="822" w:hanging="402"/>
        <w:rPr>
          <w:lang w:val="en-US" w:eastAsia="zh-CN"/>
        </w:rPr>
      </w:pPr>
      <w:bookmarkStart w:id="75" w:name="_Toc12541"/>
      <w:bookmarkStart w:id="76" w:name="_Toc2743"/>
      <w:bookmarkStart w:id="77" w:name="_Toc6582"/>
      <w:bookmarkStart w:id="78" w:name="_Toc2639"/>
      <w:bookmarkStart w:id="79" w:name="_Toc61861927"/>
      <w:r>
        <w:rPr>
          <w:rFonts w:hint="eastAsia"/>
          <w:lang w:val="en-US" w:eastAsia="zh-CN"/>
        </w:rPr>
        <w:t>Child MT Tx interfering IAB MT Rx</w:t>
      </w:r>
      <w:bookmarkEnd w:id="75"/>
      <w:bookmarkEnd w:id="76"/>
      <w:bookmarkEnd w:id="77"/>
      <w:bookmarkEnd w:id="78"/>
      <w:bookmarkEnd w:id="79"/>
    </w:p>
    <w:p>
      <w:pPr>
        <w:pStyle w:val="29"/>
        <w:tabs>
          <w:tab w:val="left" w:pos="420"/>
        </w:tabs>
        <w:spacing w:before="120" w:after="120"/>
        <w:ind w:left="822" w:hanging="402"/>
        <w:rPr>
          <w:lang w:val="fr-FR" w:eastAsia="zh-CN"/>
        </w:rPr>
      </w:pPr>
      <w:bookmarkStart w:id="80" w:name="_Toc22038"/>
      <w:bookmarkStart w:id="81" w:name="_Toc30108"/>
      <w:bookmarkStart w:id="82" w:name="_Toc1841"/>
      <w:bookmarkStart w:id="83" w:name="_Toc28778"/>
      <w:bookmarkStart w:id="84" w:name="_Toc61861928"/>
      <w:r>
        <w:rPr>
          <w:lang w:val="fr-FR" w:eastAsia="zh-CN"/>
        </w:rPr>
        <w:t>IAB DU Tx interfering parent DU Rx</w:t>
      </w:r>
      <w:bookmarkEnd w:id="80"/>
      <w:bookmarkEnd w:id="81"/>
      <w:bookmarkEnd w:id="82"/>
      <w:bookmarkEnd w:id="83"/>
      <w:bookmarkEnd w:id="84"/>
    </w:p>
    <w:p>
      <w:pPr>
        <w:pStyle w:val="29"/>
        <w:tabs>
          <w:tab w:val="left" w:pos="420"/>
        </w:tabs>
        <w:spacing w:before="120" w:after="120"/>
        <w:ind w:left="822" w:hanging="402"/>
        <w:rPr>
          <w:lang w:val="fr-FR" w:eastAsia="zh-CN"/>
        </w:rPr>
      </w:pPr>
      <w:bookmarkStart w:id="85" w:name="_Toc30557"/>
      <w:bookmarkStart w:id="86" w:name="_Toc61861929"/>
      <w:bookmarkStart w:id="87" w:name="_Toc10231"/>
      <w:bookmarkStart w:id="88" w:name="_Toc21188"/>
      <w:bookmarkStart w:id="89" w:name="_Toc11098"/>
      <w:r>
        <w:rPr>
          <w:lang w:val="fr-FR" w:eastAsia="zh-CN"/>
        </w:rPr>
        <w:t>Parent DU Tx interfering IAB DU Rx</w:t>
      </w:r>
      <w:bookmarkEnd w:id="85"/>
      <w:bookmarkEnd w:id="86"/>
      <w:bookmarkEnd w:id="87"/>
      <w:bookmarkEnd w:id="88"/>
      <w:bookmarkEnd w:id="89"/>
      <w:r>
        <w:rPr>
          <w:lang w:val="fr-FR" w:eastAsia="zh-CN"/>
        </w:rPr>
        <w:t xml:space="preserve">   </w:t>
      </w:r>
    </w:p>
    <w:p>
      <w:pPr>
        <w:tabs>
          <w:tab w:val="left" w:pos="420"/>
        </w:tabs>
        <w:spacing w:before="120" w:after="120"/>
      </w:pPr>
      <w:r>
        <w:rPr>
          <w:rFonts w:hint="eastAsia"/>
          <w:sz w:val="20"/>
        </w:rPr>
        <w:t>For interference other than adjacent node interference,</w:t>
      </w:r>
      <w:r>
        <w:rPr>
          <w:rFonts w:hint="eastAsia"/>
        </w:rPr>
        <w:t xml:space="preserve"> </w:t>
      </w:r>
      <w:r>
        <w:rPr>
          <w:rFonts w:hint="eastAsia"/>
          <w:sz w:val="20"/>
        </w:rPr>
        <w:t>we don</w:t>
      </w:r>
      <w:r>
        <w:rPr>
          <w:sz w:val="20"/>
        </w:rPr>
        <w:t>’</w:t>
      </w:r>
      <w:r>
        <w:rPr>
          <w:rFonts w:hint="eastAsia"/>
          <w:sz w:val="20"/>
        </w:rPr>
        <w:t xml:space="preserve">t see any </w:t>
      </w:r>
      <w:r>
        <w:rPr>
          <w:sz w:val="20"/>
        </w:rPr>
        <w:t xml:space="preserve">essential difference between </w:t>
      </w:r>
      <w:r>
        <w:rPr>
          <w:rFonts w:hint="eastAsia"/>
          <w:sz w:val="20"/>
        </w:rPr>
        <w:t>inter IAB node CLI</w:t>
      </w:r>
      <w:r>
        <w:rPr>
          <w:sz w:val="20"/>
        </w:rPr>
        <w:t xml:space="preserve"> and </w:t>
      </w:r>
      <w:r>
        <w:rPr>
          <w:rFonts w:hint="eastAsia"/>
          <w:sz w:val="20"/>
        </w:rPr>
        <w:t xml:space="preserve">inter gNB CLI in Rel-15. Other inter-IAB scenarios than adjacent node interference can be expected to be handled by the CLI schemes introduced </w:t>
      </w:r>
      <w:r>
        <w:rPr>
          <w:sz w:val="20"/>
        </w:rPr>
        <w:t xml:space="preserve">so far </w:t>
      </w:r>
      <w:r>
        <w:rPr>
          <w:rFonts w:hint="eastAsia"/>
          <w:sz w:val="20"/>
        </w:rPr>
        <w:t xml:space="preserve">in </w:t>
      </w:r>
      <w:r>
        <w:rPr>
          <w:sz w:val="20"/>
        </w:rPr>
        <w:t>RAN1</w:t>
      </w:r>
      <w:r>
        <w:rPr>
          <w:rFonts w:hint="eastAsia"/>
          <w:sz w:val="20"/>
        </w:rPr>
        <w:t>.</w:t>
      </w:r>
      <w:r>
        <w:rPr>
          <w:rFonts w:hint="eastAsia"/>
        </w:rPr>
        <w:t xml:space="preserve"> </w:t>
      </w:r>
    </w:p>
    <w:p>
      <w:pPr>
        <w:pStyle w:val="27"/>
        <w:spacing w:before="120" w:after="120"/>
        <w:rPr>
          <w:lang w:val="en-US" w:eastAsia="zh-CN"/>
        </w:rPr>
      </w:pPr>
      <w:bookmarkStart w:id="90" w:name="_Toc18228"/>
      <w:bookmarkStart w:id="91" w:name="_Toc13683"/>
      <w:bookmarkStart w:id="92" w:name="_Toc13491"/>
      <w:bookmarkStart w:id="93" w:name="_Toc61861930"/>
      <w:bookmarkStart w:id="94" w:name="_Toc11583"/>
      <w:r>
        <w:rPr>
          <w:rFonts w:hint="eastAsia"/>
        </w:rPr>
        <w:t>For inter IAB interference other than adjacent</w:t>
      </w:r>
      <w:r>
        <w:rPr>
          <w:rFonts w:hint="eastAsia"/>
          <w:lang w:val="en-US" w:eastAsia="zh-CN"/>
        </w:rPr>
        <w:t xml:space="preserve"> node</w:t>
      </w:r>
      <w:r>
        <w:rPr>
          <w:rFonts w:hint="eastAsia"/>
        </w:rPr>
        <w:t xml:space="preserve"> interference, </w:t>
      </w:r>
      <w:r>
        <w:rPr>
          <w:rFonts w:hint="eastAsia"/>
          <w:lang w:val="en-US" w:eastAsia="zh-CN"/>
        </w:rPr>
        <w:t>no enhancement of</w:t>
      </w:r>
      <w:r>
        <w:rPr>
          <w:rFonts w:hint="eastAsia"/>
        </w:rPr>
        <w:t xml:space="preserve"> interference management </w:t>
      </w:r>
      <w:r>
        <w:rPr>
          <w:rFonts w:hint="eastAsia"/>
          <w:lang w:val="en-US" w:eastAsia="zh-CN"/>
        </w:rPr>
        <w:t>is desired.</w:t>
      </w:r>
      <w:bookmarkEnd w:id="90"/>
      <w:bookmarkEnd w:id="91"/>
      <w:bookmarkEnd w:id="92"/>
      <w:bookmarkEnd w:id="93"/>
      <w:bookmarkEnd w:id="94"/>
      <w:r>
        <w:rPr>
          <w:rFonts w:hint="eastAsia"/>
          <w:lang w:val="en-US" w:eastAsia="zh-CN"/>
        </w:rPr>
        <w:t xml:space="preserve"> </w:t>
      </w:r>
    </w:p>
    <w:p>
      <w:pPr>
        <w:spacing w:before="120" w:after="120"/>
        <w:rPr>
          <w:sz w:val="20"/>
        </w:rPr>
      </w:pPr>
      <w:r>
        <w:rPr>
          <w:rFonts w:hint="eastAsia"/>
          <w:sz w:val="20"/>
        </w:rPr>
        <w:t xml:space="preserve">For the scenario of </w:t>
      </w:r>
      <w:r>
        <w:rPr>
          <w:rFonts w:hint="eastAsia" w:cs="Times"/>
          <w:color w:val="000000"/>
          <w:sz w:val="20"/>
        </w:rPr>
        <w:t>i</w:t>
      </w:r>
      <w:r>
        <w:rPr>
          <w:rFonts w:eastAsia="Calibri" w:cs="Times"/>
          <w:color w:val="000000"/>
          <w:sz w:val="20"/>
        </w:rPr>
        <w:t>nterference to non-IAB nodes</w:t>
      </w:r>
      <w:r>
        <w:rPr>
          <w:rFonts w:hint="eastAsia" w:cs="Times"/>
          <w:color w:val="000000"/>
          <w:sz w:val="20"/>
        </w:rPr>
        <w:t xml:space="preserve">, for the case of IAB-DU to non-IAB-DU(e.g., gNB), </w:t>
      </w:r>
      <w:r>
        <w:rPr>
          <w:rFonts w:hint="eastAsia"/>
          <w:sz w:val="20"/>
        </w:rPr>
        <w:t>there is no fundamental difference to the case of IAB-DU to IAB-DU.</w:t>
      </w:r>
      <w:r>
        <w:rPr>
          <w:rFonts w:hint="eastAsia" w:cs="Times"/>
          <w:color w:val="000000"/>
          <w:sz w:val="20"/>
        </w:rPr>
        <w:t xml:space="preserve"> For the case of IAB-MT to non-IAB-DU, similar CLI schemes addressing the interference from UE to gNB can be reused. </w:t>
      </w:r>
      <w:r>
        <w:rPr>
          <w:rFonts w:hint="eastAsia"/>
          <w:sz w:val="20"/>
        </w:rPr>
        <w:t>In a word, interference optimization for IAB-DU to non-IAB-DU is not necessary.</w:t>
      </w:r>
    </w:p>
    <w:p>
      <w:pPr>
        <w:pStyle w:val="27"/>
        <w:spacing w:before="120" w:after="120"/>
        <w:rPr>
          <w:lang w:val="en-US" w:eastAsia="zh-CN"/>
        </w:rPr>
      </w:pPr>
      <w:bookmarkStart w:id="95" w:name="_Toc27101"/>
      <w:bookmarkStart w:id="96" w:name="_Toc61861931"/>
      <w:bookmarkStart w:id="97" w:name="_Toc7787"/>
      <w:bookmarkStart w:id="98" w:name="_Toc15564"/>
      <w:bookmarkStart w:id="99" w:name="_Toc19593"/>
      <w:r>
        <w:rPr>
          <w:rFonts w:hint="eastAsia"/>
          <w:lang w:val="en-US" w:eastAsia="zh-CN"/>
        </w:rPr>
        <w:t>Enhancement on i</w:t>
      </w:r>
      <w:r>
        <w:rPr>
          <w:rFonts w:hint="eastAsia"/>
        </w:rPr>
        <w:t>nterference management</w:t>
      </w:r>
      <w:r>
        <w:rPr>
          <w:rFonts w:hint="eastAsia"/>
          <w:lang w:val="en-US" w:eastAsia="zh-CN"/>
        </w:rPr>
        <w:t xml:space="preserve"> for </w:t>
      </w:r>
      <w:r>
        <w:rPr>
          <w:rFonts w:hint="eastAsia"/>
        </w:rPr>
        <w:t xml:space="preserve">IAB to non-IAB-DU </w:t>
      </w:r>
      <w:r>
        <w:rPr>
          <w:rFonts w:hint="eastAsia"/>
          <w:lang w:val="en-US" w:eastAsia="zh-CN"/>
        </w:rPr>
        <w:t>is not necessary.</w:t>
      </w:r>
      <w:bookmarkEnd w:id="95"/>
      <w:bookmarkEnd w:id="96"/>
      <w:bookmarkEnd w:id="97"/>
      <w:bookmarkEnd w:id="98"/>
      <w:bookmarkEnd w:id="99"/>
      <w:r>
        <w:rPr>
          <w:rFonts w:hint="eastAsia"/>
          <w:lang w:val="en-US" w:eastAsia="zh-CN"/>
        </w:rPr>
        <w:t xml:space="preserve"> </w:t>
      </w:r>
    </w:p>
    <w:p>
      <w:pPr>
        <w:spacing w:before="120" w:after="120"/>
        <w:rPr>
          <w:sz w:val="20"/>
        </w:rPr>
      </w:pPr>
      <w:r>
        <w:rPr>
          <w:rFonts w:hint="eastAsia"/>
          <w:sz w:val="20"/>
        </w:rPr>
        <w:t>For self-interference in case of full duplex, as the interfering node and victim node are the same one, it is a reasonable way that the IAB node coordinates interference by implementation.</w:t>
      </w:r>
    </w:p>
    <w:p>
      <w:pPr>
        <w:pStyle w:val="27"/>
        <w:spacing w:before="120" w:after="120"/>
        <w:rPr>
          <w:lang w:val="en-US" w:eastAsia="zh-CN"/>
        </w:rPr>
      </w:pPr>
      <w:bookmarkStart w:id="100" w:name="_Toc1645"/>
      <w:bookmarkStart w:id="101" w:name="_Toc61861932"/>
      <w:bookmarkStart w:id="102" w:name="_Toc7916"/>
      <w:bookmarkStart w:id="103" w:name="_Toc9192"/>
      <w:bookmarkStart w:id="104" w:name="_Toc7213"/>
      <w:r>
        <w:rPr>
          <w:rFonts w:hint="eastAsia"/>
        </w:rPr>
        <w:t xml:space="preserve">The interference for </w:t>
      </w:r>
      <w:r>
        <w:t>Intra-IAB-node</w:t>
      </w:r>
      <w:r>
        <w:rPr>
          <w:rFonts w:hint="eastAsia"/>
        </w:rPr>
        <w:t xml:space="preserve"> (self-interference) can be </w:t>
      </w:r>
      <w:r>
        <w:rPr>
          <w:rFonts w:hint="eastAsia"/>
          <w:lang w:val="en-US" w:eastAsia="zh-CN"/>
        </w:rPr>
        <w:t>handled</w:t>
      </w:r>
      <w:r>
        <w:rPr>
          <w:rFonts w:hint="eastAsia"/>
        </w:rPr>
        <w:t xml:space="preserve"> by</w:t>
      </w:r>
      <w:r>
        <w:rPr>
          <w:rFonts w:hint="eastAsia"/>
          <w:lang w:val="en-US" w:eastAsia="zh-CN"/>
        </w:rPr>
        <w:t xml:space="preserve"> IAB node</w:t>
      </w:r>
      <w:r>
        <w:rPr>
          <w:rFonts w:hint="eastAsia"/>
        </w:rPr>
        <w:t xml:space="preserve"> implementation</w:t>
      </w:r>
      <w:r>
        <w:rPr>
          <w:rFonts w:hint="eastAsia"/>
          <w:lang w:val="en-US" w:eastAsia="zh-CN"/>
        </w:rPr>
        <w:t>.</w:t>
      </w:r>
      <w:bookmarkEnd w:id="100"/>
      <w:bookmarkEnd w:id="101"/>
      <w:bookmarkEnd w:id="102"/>
      <w:bookmarkEnd w:id="103"/>
      <w:bookmarkEnd w:id="104"/>
      <w:r>
        <w:rPr>
          <w:rFonts w:hint="eastAsia"/>
          <w:lang w:val="en-US" w:eastAsia="zh-CN"/>
        </w:rPr>
        <w:t xml:space="preserve"> </w:t>
      </w:r>
    </w:p>
    <w:p>
      <w:pPr>
        <w:spacing w:before="120" w:after="120"/>
        <w:rPr>
          <w:sz w:val="20"/>
        </w:rPr>
      </w:pPr>
      <w:r>
        <w:rPr>
          <w:rFonts w:hint="eastAsia"/>
          <w:sz w:val="20"/>
        </w:rPr>
        <w:t xml:space="preserve">In RAN1#103-e meeting, the following agreement related to </w:t>
      </w:r>
      <w:r>
        <w:rPr>
          <w:rFonts w:eastAsia="Calibri"/>
          <w:bCs/>
          <w:sz w:val="20"/>
        </w:rPr>
        <w:t>resource and beam coordination</w:t>
      </w:r>
      <w:r>
        <w:rPr>
          <w:rFonts w:hint="eastAsia"/>
          <w:sz w:val="20"/>
        </w:rPr>
        <w:t xml:space="preserve"> was reached[2].</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rFonts w:cs="Times"/>
                <w:b/>
                <w:bCs/>
                <w:sz w:val="20"/>
                <w:highlight w:val="green"/>
              </w:rPr>
            </w:pPr>
            <w:r>
              <w:rPr>
                <w:rFonts w:cs="Times"/>
                <w:b/>
                <w:bCs/>
                <w:sz w:val="20"/>
                <w:highlight w:val="green"/>
              </w:rPr>
              <w:t>Agreement</w:t>
            </w:r>
            <w:r>
              <w:rPr>
                <w:sz w:val="20"/>
              </w:rPr>
              <w:t xml:space="preserve"> [RAN1 #</w:t>
            </w:r>
            <w:r>
              <w:rPr>
                <w:rFonts w:hint="eastAsia"/>
                <w:sz w:val="20"/>
              </w:rPr>
              <w:t>103-e</w:t>
            </w:r>
            <w:r>
              <w:rPr>
                <w:sz w:val="20"/>
              </w:rPr>
              <w:t>]:</w:t>
            </w:r>
          </w:p>
          <w:p>
            <w:pPr>
              <w:widowControl w:val="0"/>
              <w:spacing w:before="120" w:after="120"/>
              <w:rPr>
                <w:rFonts w:eastAsia="Calibri"/>
                <w:bCs/>
                <w:sz w:val="20"/>
              </w:rPr>
            </w:pPr>
            <w:r>
              <w:rPr>
                <w:rFonts w:eastAsia="Calibri"/>
                <w:bCs/>
                <w:sz w:val="20"/>
              </w:rPr>
              <w:t>Consider resource and beam coordination techniques to mitigate/avoid interference, including (not an exhaustive list):</w:t>
            </w:r>
          </w:p>
          <w:p>
            <w:pPr>
              <w:pStyle w:val="32"/>
              <w:widowControl w:val="0"/>
              <w:numPr>
                <w:ilvl w:val="0"/>
                <w:numId w:val="11"/>
              </w:numPr>
              <w:spacing w:after="120"/>
              <w:textAlignment w:val="baseline"/>
              <w:rPr>
                <w:rFonts w:eastAsia="Calibri" w:cs="Times"/>
                <w:color w:val="000000"/>
                <w:sz w:val="20"/>
                <w:szCs w:val="20"/>
              </w:rPr>
            </w:pPr>
            <w:r>
              <w:rPr>
                <w:rFonts w:eastAsia="Calibri" w:cs="Times"/>
                <w:color w:val="000000"/>
                <w:sz w:val="20"/>
                <w:szCs w:val="20"/>
              </w:rPr>
              <w:t xml:space="preserve">FFS: whether or not to support IAB‐node (MT) transmissions in DL access slots </w:t>
            </w:r>
          </w:p>
          <w:p>
            <w:pPr>
              <w:pStyle w:val="32"/>
              <w:widowControl w:val="0"/>
              <w:numPr>
                <w:ilvl w:val="1"/>
                <w:numId w:val="11"/>
              </w:numPr>
              <w:spacing w:after="120"/>
              <w:textAlignment w:val="baseline"/>
              <w:rPr>
                <w:rFonts w:eastAsia="Calibri" w:cs="Times"/>
                <w:color w:val="000000"/>
                <w:sz w:val="20"/>
                <w:szCs w:val="20"/>
              </w:rPr>
            </w:pPr>
            <w:r>
              <w:rPr>
                <w:rFonts w:eastAsia="Calibri" w:cs="Times"/>
                <w:color w:val="000000"/>
                <w:sz w:val="20"/>
                <w:szCs w:val="20"/>
              </w:rPr>
              <w:t>FFS: if this has RAN1 impact or it can be handled by implementation.</w:t>
            </w:r>
          </w:p>
          <w:p>
            <w:pPr>
              <w:pStyle w:val="32"/>
              <w:widowControl w:val="0"/>
              <w:numPr>
                <w:ilvl w:val="1"/>
                <w:numId w:val="11"/>
              </w:numPr>
              <w:spacing w:after="120"/>
              <w:textAlignment w:val="baseline"/>
              <w:rPr>
                <w:rFonts w:eastAsia="Calibri" w:cs="Times"/>
                <w:color w:val="000000"/>
                <w:sz w:val="20"/>
                <w:szCs w:val="20"/>
              </w:rPr>
            </w:pPr>
            <w:r>
              <w:rPr>
                <w:rFonts w:eastAsia="Calibri" w:cs="Times"/>
                <w:color w:val="000000"/>
                <w:sz w:val="20"/>
                <w:szCs w:val="20"/>
              </w:rPr>
              <w:t>FFS: network coordination impact</w:t>
            </w:r>
          </w:p>
          <w:p>
            <w:pPr>
              <w:pStyle w:val="32"/>
              <w:widowControl w:val="0"/>
              <w:numPr>
                <w:ilvl w:val="0"/>
                <w:numId w:val="11"/>
              </w:numPr>
              <w:spacing w:after="120"/>
              <w:textAlignment w:val="baseline"/>
              <w:rPr>
                <w:rFonts w:eastAsia="Calibri" w:cs="Times"/>
                <w:color w:val="000000"/>
                <w:sz w:val="20"/>
                <w:szCs w:val="20"/>
              </w:rPr>
            </w:pPr>
            <w:r>
              <w:rPr>
                <w:rFonts w:eastAsia="Calibri" w:cs="Times"/>
                <w:color w:val="000000"/>
                <w:sz w:val="20"/>
                <w:szCs w:val="20"/>
              </w:rPr>
              <w:t>FFS: whether Rel-16 resource management framework is sufficient.</w:t>
            </w:r>
          </w:p>
          <w:p>
            <w:pPr>
              <w:widowControl w:val="0"/>
              <w:spacing w:before="120" w:after="120"/>
              <w:rPr>
                <w:sz w:val="20"/>
              </w:rPr>
            </w:pPr>
          </w:p>
        </w:tc>
      </w:tr>
    </w:tbl>
    <w:p>
      <w:pPr>
        <w:spacing w:before="120" w:after="120"/>
        <w:rPr>
          <w:sz w:val="20"/>
        </w:rPr>
      </w:pPr>
      <w:r>
        <w:rPr>
          <w:rFonts w:hint="eastAsia"/>
          <w:sz w:val="20"/>
        </w:rPr>
        <w:t>Considering the MT transmission occasion, if following the same logic as access UE, MT transmission can occur in UL/F access slots as in Rel-16. But in Rel-17, considering the IAB node MT</w:t>
      </w:r>
      <w:r>
        <w:rPr>
          <w:sz w:val="20"/>
        </w:rPr>
        <w:t>’</w:t>
      </w:r>
      <w:r>
        <w:rPr>
          <w:rFonts w:hint="eastAsia"/>
          <w:sz w:val="20"/>
        </w:rPr>
        <w:t>s transmission capability, enhanced power control mechanism and CLI schemes, it is also feasible for MT to transmit in DL access slots too. To support this feature, MT</w:t>
      </w:r>
      <w:r>
        <w:rPr>
          <w:sz w:val="20"/>
        </w:rPr>
        <w:t xml:space="preserve"> and access UE can be configured/indicated with different resource directions</w:t>
      </w:r>
      <w:r>
        <w:rPr>
          <w:rFonts w:hint="eastAsia"/>
          <w:sz w:val="20"/>
        </w:rPr>
        <w:t xml:space="preserve"> </w:t>
      </w:r>
      <w:r>
        <w:rPr>
          <w:sz w:val="20"/>
        </w:rPr>
        <w:t>while the legacy resource configuration/indication can be reused</w:t>
      </w:r>
      <w:r>
        <w:rPr>
          <w:rFonts w:hint="eastAsia"/>
          <w:sz w:val="20"/>
        </w:rPr>
        <w:t xml:space="preserve">. </w:t>
      </w:r>
    </w:p>
    <w:p>
      <w:pPr>
        <w:pStyle w:val="27"/>
        <w:spacing w:before="120" w:after="120"/>
        <w:rPr>
          <w:lang w:val="en-US" w:eastAsia="zh-CN"/>
        </w:rPr>
      </w:pPr>
      <w:bookmarkStart w:id="105" w:name="_Toc14239"/>
      <w:bookmarkStart w:id="106" w:name="_Toc61861933"/>
      <w:bookmarkStart w:id="107" w:name="_Toc27104"/>
      <w:bookmarkStart w:id="108" w:name="_Toc5066"/>
      <w:bookmarkStart w:id="109" w:name="_Toc32099"/>
      <w:r>
        <w:rPr>
          <w:rFonts w:eastAsia="Calibri" w:cs="Times"/>
          <w:color w:val="000000"/>
        </w:rPr>
        <w:t>IAB</w:t>
      </w:r>
      <w:r>
        <w:rPr>
          <w:rFonts w:hint="eastAsia" w:cs="Times"/>
          <w:color w:val="000000"/>
          <w:lang w:val="en-US" w:eastAsia="zh-CN"/>
        </w:rPr>
        <w:t>-</w:t>
      </w:r>
      <w:r>
        <w:rPr>
          <w:rFonts w:eastAsia="Calibri" w:cs="Times"/>
          <w:color w:val="000000"/>
        </w:rPr>
        <w:t>node (MT) transmissions</w:t>
      </w:r>
      <w:r>
        <w:rPr>
          <w:rFonts w:hint="eastAsia" w:cs="Times"/>
          <w:color w:val="000000"/>
        </w:rPr>
        <w:t xml:space="preserve"> can </w:t>
      </w:r>
      <w:r>
        <w:rPr>
          <w:rFonts w:hint="eastAsia" w:cs="Times"/>
          <w:color w:val="000000"/>
          <w:lang w:val="en-US" w:eastAsia="zh-CN"/>
        </w:rPr>
        <w:t>be in</w:t>
      </w:r>
      <w:r>
        <w:rPr>
          <w:rFonts w:hint="eastAsia" w:cs="Times"/>
          <w:color w:val="000000"/>
        </w:rPr>
        <w:t xml:space="preserve"> DL/UL/F access slots</w:t>
      </w:r>
      <w:r>
        <w:rPr>
          <w:rFonts w:hint="eastAsia"/>
          <w:lang w:val="en-US" w:eastAsia="zh-CN"/>
        </w:rPr>
        <w:t>.</w:t>
      </w:r>
      <w:bookmarkEnd w:id="105"/>
      <w:bookmarkEnd w:id="106"/>
      <w:bookmarkEnd w:id="107"/>
      <w:bookmarkEnd w:id="108"/>
      <w:bookmarkEnd w:id="109"/>
      <w:r>
        <w:rPr>
          <w:rFonts w:hint="eastAsia"/>
          <w:lang w:val="en-US" w:eastAsia="zh-CN"/>
        </w:rPr>
        <w:t xml:space="preserve"> </w:t>
      </w:r>
    </w:p>
    <w:p>
      <w:pPr>
        <w:spacing w:before="120" w:after="120"/>
        <w:rPr>
          <w:sz w:val="20"/>
        </w:rPr>
      </w:pPr>
      <w:r>
        <w:rPr>
          <w:rFonts w:hint="eastAsia"/>
          <w:sz w:val="20"/>
        </w:rPr>
        <w:t>For CLI enhancements some potential techniques were identified in the following agreement[2].</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rFonts w:cs="Times"/>
                <w:b/>
                <w:bCs/>
                <w:sz w:val="20"/>
                <w:highlight w:val="green"/>
              </w:rPr>
            </w:pPr>
            <w:r>
              <w:rPr>
                <w:rFonts w:cs="Times"/>
                <w:b/>
                <w:bCs/>
                <w:sz w:val="20"/>
                <w:highlight w:val="green"/>
              </w:rPr>
              <w:t>Agreement</w:t>
            </w:r>
            <w:r>
              <w:rPr>
                <w:sz w:val="20"/>
              </w:rPr>
              <w:t xml:space="preserve"> [RAN1 #</w:t>
            </w:r>
            <w:r>
              <w:rPr>
                <w:rFonts w:hint="eastAsia"/>
                <w:sz w:val="20"/>
              </w:rPr>
              <w:t>103-e</w:t>
            </w:r>
            <w:r>
              <w:rPr>
                <w:sz w:val="20"/>
              </w:rPr>
              <w:t>]:</w:t>
            </w:r>
          </w:p>
          <w:p>
            <w:pPr>
              <w:widowControl w:val="0"/>
              <w:spacing w:before="120" w:after="120"/>
              <w:rPr>
                <w:rFonts w:eastAsia="Calibri"/>
                <w:sz w:val="20"/>
              </w:rPr>
            </w:pPr>
            <w:r>
              <w:rPr>
                <w:rFonts w:eastAsia="Calibri"/>
                <w:sz w:val="20"/>
              </w:rPr>
              <w:t>Use the Rel-16 interference management frameworks (e.g. CLI, RIM) to handle IAB interference scenarios, and discuss if any of the following enhancements are needed (not an exhaustive list):</w:t>
            </w:r>
          </w:p>
          <w:p>
            <w:pPr>
              <w:pStyle w:val="32"/>
              <w:widowControl w:val="0"/>
              <w:numPr>
                <w:ilvl w:val="0"/>
                <w:numId w:val="11"/>
              </w:numPr>
              <w:spacing w:after="120"/>
              <w:textAlignment w:val="baseline"/>
              <w:rPr>
                <w:rFonts w:eastAsia="Calibri" w:cs="Times"/>
                <w:bCs/>
                <w:sz w:val="20"/>
                <w:szCs w:val="20"/>
              </w:rPr>
            </w:pPr>
            <w:r>
              <w:rPr>
                <w:rFonts w:eastAsia="Calibri" w:cs="Times"/>
                <w:bCs/>
                <w:sz w:val="20"/>
                <w:szCs w:val="20"/>
              </w:rPr>
              <w:t>FFS: extend the information exchange (e.g. the resource configuration, result of CLI measurements, etc.) among different entities (e.g. between parent-child nodes, adjacent IAB nodes, between network and IAB-node, etc.)  </w:t>
            </w:r>
          </w:p>
          <w:p>
            <w:pPr>
              <w:pStyle w:val="32"/>
              <w:widowControl w:val="0"/>
              <w:numPr>
                <w:ilvl w:val="0"/>
                <w:numId w:val="11"/>
              </w:numPr>
              <w:spacing w:after="120"/>
              <w:textAlignment w:val="baseline"/>
              <w:rPr>
                <w:rFonts w:eastAsia="Calibri" w:cs="Times"/>
                <w:bCs/>
                <w:sz w:val="20"/>
                <w:szCs w:val="20"/>
              </w:rPr>
            </w:pPr>
            <w:r>
              <w:rPr>
                <w:rFonts w:eastAsia="Calibri" w:cs="Times"/>
                <w:bCs/>
                <w:sz w:val="20"/>
                <w:szCs w:val="20"/>
              </w:rPr>
              <w:t>FFS: required enhancements on CLI measurement accuracy (e.g. via timing adjustment, etc.)</w:t>
            </w:r>
          </w:p>
          <w:p>
            <w:pPr>
              <w:pStyle w:val="32"/>
              <w:widowControl w:val="0"/>
              <w:numPr>
                <w:ilvl w:val="0"/>
                <w:numId w:val="11"/>
              </w:numPr>
              <w:spacing w:after="120"/>
              <w:textAlignment w:val="baseline"/>
              <w:rPr>
                <w:rFonts w:eastAsia="Calibri" w:cs="Times"/>
                <w:bCs/>
                <w:sz w:val="20"/>
                <w:szCs w:val="20"/>
              </w:rPr>
            </w:pPr>
            <w:r>
              <w:rPr>
                <w:rFonts w:eastAsia="Calibri" w:cs="Times"/>
                <w:bCs/>
                <w:sz w:val="20"/>
                <w:szCs w:val="20"/>
              </w:rPr>
              <w:t>FFS: required enhancements on CLI measurements (e.g. introducing short-term measurements, multi-beam measurements, etc.)</w:t>
            </w:r>
          </w:p>
          <w:p>
            <w:pPr>
              <w:widowControl w:val="0"/>
              <w:spacing w:before="120" w:after="120"/>
              <w:rPr>
                <w:sz w:val="20"/>
              </w:rPr>
            </w:pPr>
          </w:p>
        </w:tc>
      </w:tr>
    </w:tbl>
    <w:p>
      <w:pPr>
        <w:spacing w:before="120" w:after="120"/>
        <w:rPr>
          <w:rFonts w:cs="Times"/>
          <w:bCs/>
          <w:sz w:val="20"/>
        </w:rPr>
      </w:pPr>
      <w:r>
        <w:rPr>
          <w:rFonts w:hint="eastAsia" w:cs="Times"/>
          <w:bCs/>
          <w:sz w:val="20"/>
        </w:rPr>
        <w:t xml:space="preserve">To support enhanced multiplexing </w:t>
      </w:r>
      <w:r>
        <w:rPr>
          <w:rFonts w:cs="Times"/>
          <w:bCs/>
          <w:sz w:val="20"/>
        </w:rPr>
        <w:t>efficiently</w:t>
      </w:r>
      <w:r>
        <w:rPr>
          <w:rFonts w:hint="eastAsia" w:cs="Times"/>
          <w:bCs/>
          <w:sz w:val="20"/>
        </w:rPr>
        <w:t xml:space="preserve"> in Rel-17, For example, Case A multiplexing, adjacent node MT-MT interference and DU-DU interference shown in figure 1 should be taken into consideration. To mitigate these kinds of interference, the interference measurement results should also be exchanged between adjacent nodes. For example, when an IAB node measures a Tx beam from its child node which is suitable to multiplexing Case B, the desired SRI can be informed to the child node. Another example is that when an IAB node measures Rx beam for its parent node which is suitable to multiplexing Case B, the desired TCI can be informed to the parent node.</w:t>
      </w:r>
    </w:p>
    <w:p>
      <w:pPr>
        <w:pStyle w:val="27"/>
        <w:spacing w:before="120" w:after="120"/>
        <w:rPr>
          <w:lang w:val="en-US" w:eastAsia="zh-CN"/>
        </w:rPr>
      </w:pPr>
      <w:bookmarkStart w:id="110" w:name="_Toc10507"/>
      <w:bookmarkStart w:id="111" w:name="_Toc61861934"/>
      <w:bookmarkStart w:id="112" w:name="_Toc31140"/>
      <w:bookmarkStart w:id="113" w:name="_Toc31122"/>
      <w:bookmarkStart w:id="114" w:name="_Toc9956"/>
      <w:r>
        <w:rPr>
          <w:rFonts w:hint="eastAsia" w:cs="Times"/>
          <w:color w:val="000000"/>
          <w:lang w:val="en-US" w:eastAsia="zh-CN"/>
        </w:rPr>
        <w:t>To</w:t>
      </w:r>
      <w:r>
        <w:rPr>
          <w:rFonts w:hint="eastAsia" w:eastAsia="Calibri" w:cs="Times"/>
          <w:color w:val="000000"/>
        </w:rPr>
        <w:t xml:space="preserve"> </w:t>
      </w:r>
      <w:r>
        <w:rPr>
          <w:rFonts w:hint="eastAsia" w:cs="Times"/>
          <w:color w:val="000000"/>
          <w:lang w:val="en-US" w:eastAsia="zh-CN"/>
        </w:rPr>
        <w:t>improve efficiency of resource multiplexing</w:t>
      </w:r>
      <w:r>
        <w:rPr>
          <w:rFonts w:hint="eastAsia" w:eastAsia="Calibri" w:cs="Times"/>
          <w:color w:val="000000"/>
        </w:rPr>
        <w:t>, the</w:t>
      </w:r>
      <w:r>
        <w:rPr>
          <w:rFonts w:hint="eastAsia" w:cs="Times"/>
          <w:color w:val="000000"/>
          <w:lang w:val="en-US" w:eastAsia="zh-CN"/>
        </w:rPr>
        <w:t xml:space="preserve"> desired TCI and desired SRI should be </w:t>
      </w:r>
      <w:r>
        <w:rPr>
          <w:rFonts w:hint="eastAsia" w:eastAsia="Calibri" w:cs="Times"/>
          <w:color w:val="000000"/>
        </w:rPr>
        <w:t>exchange</w:t>
      </w:r>
      <w:r>
        <w:rPr>
          <w:rFonts w:hint="eastAsia" w:cs="Times"/>
          <w:color w:val="000000"/>
          <w:lang w:val="en-US" w:eastAsia="zh-CN"/>
        </w:rPr>
        <w:t>d</w:t>
      </w:r>
      <w:r>
        <w:rPr>
          <w:rFonts w:hint="eastAsia" w:eastAsia="Calibri" w:cs="Times"/>
          <w:color w:val="000000"/>
        </w:rPr>
        <w:t xml:space="preserve"> </w:t>
      </w:r>
      <w:r>
        <w:rPr>
          <w:rFonts w:hint="eastAsia" w:cs="Times"/>
          <w:color w:val="000000"/>
          <w:lang w:val="en-US" w:eastAsia="zh-CN"/>
        </w:rPr>
        <w:t>between IAB node and its parent node,</w:t>
      </w:r>
      <w:r>
        <w:rPr>
          <w:rFonts w:cs="Times"/>
          <w:color w:val="000000"/>
          <w:lang w:val="en-US" w:eastAsia="zh-CN"/>
        </w:rPr>
        <w:t xml:space="preserve"> </w:t>
      </w:r>
      <w:r>
        <w:rPr>
          <w:rFonts w:hint="eastAsia" w:cs="Times"/>
          <w:color w:val="000000"/>
          <w:lang w:val="en-US" w:eastAsia="zh-CN"/>
        </w:rPr>
        <w:t>or between IAB node and its child node</w:t>
      </w:r>
      <w:r>
        <w:rPr>
          <w:rFonts w:hint="eastAsia"/>
          <w:lang w:val="en-US" w:eastAsia="zh-CN"/>
        </w:rPr>
        <w:t>.</w:t>
      </w:r>
      <w:bookmarkEnd w:id="110"/>
      <w:bookmarkEnd w:id="111"/>
      <w:bookmarkEnd w:id="112"/>
      <w:bookmarkEnd w:id="113"/>
      <w:bookmarkEnd w:id="114"/>
      <w:r>
        <w:rPr>
          <w:rFonts w:hint="eastAsia"/>
          <w:lang w:val="en-US" w:eastAsia="zh-CN"/>
        </w:rPr>
        <w:t xml:space="preserve"> </w:t>
      </w:r>
    </w:p>
    <w:p>
      <w:pPr>
        <w:spacing w:before="120" w:after="120"/>
        <w:rPr>
          <w:rFonts w:cs="Times"/>
          <w:bCs/>
          <w:sz w:val="20"/>
        </w:rPr>
      </w:pPr>
      <w:r>
        <w:rPr>
          <w:rFonts w:hint="eastAsia" w:cs="Times"/>
          <w:bCs/>
          <w:sz w:val="20"/>
        </w:rPr>
        <w:t>T</w:t>
      </w:r>
      <w:r>
        <w:rPr>
          <w:rFonts w:eastAsia="Calibri" w:cs="Times"/>
          <w:bCs/>
          <w:sz w:val="20"/>
        </w:rPr>
        <w:t>iming adjustment</w:t>
      </w:r>
      <w:r>
        <w:rPr>
          <w:rFonts w:hint="eastAsia" w:cs="Times"/>
          <w:bCs/>
          <w:sz w:val="20"/>
        </w:rPr>
        <w:t xml:space="preserve"> for </w:t>
      </w:r>
      <w:r>
        <w:rPr>
          <w:rFonts w:eastAsia="Calibri" w:cs="Times"/>
          <w:bCs/>
          <w:sz w:val="20"/>
        </w:rPr>
        <w:t>CLI measurement accuracy</w:t>
      </w:r>
      <w:r>
        <w:rPr>
          <w:rFonts w:hint="eastAsia" w:cs="Times"/>
          <w:bCs/>
          <w:sz w:val="20"/>
        </w:rPr>
        <w:t xml:space="preserve"> e</w:t>
      </w:r>
      <w:r>
        <w:rPr>
          <w:rFonts w:eastAsia="Calibri" w:cs="Times"/>
          <w:bCs/>
          <w:sz w:val="20"/>
        </w:rPr>
        <w:t>nhancement</w:t>
      </w:r>
      <w:r>
        <w:rPr>
          <w:rFonts w:hint="eastAsia" w:cs="Times"/>
          <w:bCs/>
          <w:sz w:val="20"/>
        </w:rPr>
        <w:t xml:space="preserve"> was discussed during Rel-16 CLI and this issues is left to UE implementation. We don</w:t>
      </w:r>
      <w:r>
        <w:rPr>
          <w:rFonts w:cs="Times"/>
          <w:bCs/>
          <w:sz w:val="20"/>
        </w:rPr>
        <w:t>’</w:t>
      </w:r>
      <w:r>
        <w:rPr>
          <w:rFonts w:hint="eastAsia" w:cs="Times"/>
          <w:bCs/>
          <w:sz w:val="20"/>
        </w:rPr>
        <w:t>t see a strong motivation to enhance it in IAB, so the same principle can be followed, i.e. it is up to MT implementation to adjust the measurement offset.</w:t>
      </w:r>
    </w:p>
    <w:p>
      <w:pPr>
        <w:pStyle w:val="27"/>
        <w:spacing w:before="120" w:after="120"/>
        <w:rPr>
          <w:lang w:val="en-US" w:eastAsia="zh-CN"/>
        </w:rPr>
      </w:pPr>
      <w:bookmarkStart w:id="115" w:name="_Toc9713"/>
      <w:bookmarkStart w:id="116" w:name="_Toc11141"/>
      <w:bookmarkStart w:id="117" w:name="_Toc16263"/>
      <w:bookmarkStart w:id="118" w:name="_Toc8551"/>
      <w:bookmarkStart w:id="119" w:name="_Toc61861935"/>
      <w:r>
        <w:rPr>
          <w:rFonts w:hint="eastAsia" w:cs="Times"/>
          <w:color w:val="000000"/>
          <w:lang w:val="en-US" w:eastAsia="zh-CN"/>
        </w:rPr>
        <w:t>T</w:t>
      </w:r>
      <w:r>
        <w:rPr>
          <w:rFonts w:hint="eastAsia" w:eastAsia="Calibri" w:cs="Times"/>
          <w:color w:val="000000"/>
        </w:rPr>
        <w:t>iming adjustment</w:t>
      </w:r>
      <w:r>
        <w:rPr>
          <w:rFonts w:hint="eastAsia" w:cs="Times"/>
          <w:color w:val="000000"/>
          <w:lang w:val="en-US" w:eastAsia="zh-CN"/>
        </w:rPr>
        <w:t xml:space="preserve"> for </w:t>
      </w:r>
      <w:r>
        <w:rPr>
          <w:rFonts w:hint="eastAsia"/>
        </w:rPr>
        <w:t>enhancements on CLI measurement accuracy</w:t>
      </w:r>
      <w:r>
        <w:rPr>
          <w:rFonts w:hint="eastAsia"/>
          <w:lang w:val="en-US" w:eastAsia="zh-CN"/>
        </w:rPr>
        <w:t xml:space="preserve"> </w:t>
      </w:r>
      <w:r>
        <w:rPr>
          <w:rFonts w:hint="eastAsia" w:eastAsia="Calibri" w:cs="Times"/>
          <w:color w:val="000000"/>
        </w:rPr>
        <w:t>can</w:t>
      </w:r>
      <w:r>
        <w:rPr>
          <w:rFonts w:hint="eastAsia" w:cs="Times"/>
          <w:color w:val="000000"/>
          <w:lang w:val="en-US" w:eastAsia="zh-CN"/>
        </w:rPr>
        <w:t xml:space="preserve"> be</w:t>
      </w:r>
      <w:r>
        <w:rPr>
          <w:rFonts w:hint="eastAsia" w:eastAsia="Calibri" w:cs="Times"/>
          <w:color w:val="000000"/>
        </w:rPr>
        <w:t xml:space="preserve"> </w:t>
      </w:r>
      <w:r>
        <w:rPr>
          <w:rFonts w:hint="eastAsia" w:cs="Times"/>
          <w:color w:val="000000"/>
          <w:lang w:val="en-US" w:eastAsia="zh-CN"/>
        </w:rPr>
        <w:t>left to MT implementation</w:t>
      </w:r>
      <w:r>
        <w:rPr>
          <w:rFonts w:hint="eastAsia"/>
          <w:lang w:val="en-US" w:eastAsia="zh-CN"/>
        </w:rPr>
        <w:t>.</w:t>
      </w:r>
      <w:bookmarkEnd w:id="115"/>
      <w:bookmarkEnd w:id="116"/>
      <w:bookmarkEnd w:id="117"/>
      <w:bookmarkEnd w:id="118"/>
      <w:bookmarkEnd w:id="119"/>
      <w:r>
        <w:rPr>
          <w:rFonts w:hint="eastAsia"/>
          <w:lang w:val="en-US" w:eastAsia="zh-CN"/>
        </w:rPr>
        <w:t xml:space="preserve"> </w:t>
      </w:r>
    </w:p>
    <w:p>
      <w:pPr>
        <w:pStyle w:val="2"/>
        <w:spacing w:before="120" w:after="120"/>
        <w:ind w:left="0"/>
        <w:rPr>
          <w:rFonts w:eastAsia="宋体"/>
        </w:rPr>
      </w:pPr>
      <w:r>
        <w:rPr>
          <w:rFonts w:hint="eastAsia" w:eastAsia="宋体"/>
        </w:rPr>
        <w:t>Conclusion</w:t>
      </w:r>
    </w:p>
    <w:p>
      <w:pPr>
        <w:tabs>
          <w:tab w:val="left" w:pos="2520"/>
        </w:tabs>
        <w:spacing w:before="120" w:after="120"/>
        <w:rPr>
          <w:sz w:val="20"/>
        </w:rPr>
      </w:pPr>
      <w:r>
        <w:rPr>
          <w:rFonts w:hint="eastAsia"/>
          <w:sz w:val="20"/>
        </w:rPr>
        <w:t>According to the discussion above, we provide the following observations and proposal</w:t>
      </w:r>
      <w:r>
        <w:rPr>
          <w:sz w:val="20"/>
        </w:rPr>
        <w:t>s</w:t>
      </w:r>
      <w:r>
        <w:rPr>
          <w:rFonts w:hint="eastAsia"/>
          <w:sz w:val="20"/>
        </w:rPr>
        <w:t>:</w:t>
      </w:r>
    </w:p>
    <w:p>
      <w:pPr>
        <w:spacing w:before="120" w:after="120"/>
        <w:rPr>
          <w:szCs w:val="22"/>
        </w:rPr>
      </w:pPr>
    </w:p>
    <w:p>
      <w:pPr>
        <w:pStyle w:val="16"/>
        <w:tabs>
          <w:tab w:val="left" w:pos="1680"/>
          <w:tab w:val="right" w:pos="9650"/>
        </w:tabs>
        <w:spacing w:before="120" w:after="120"/>
        <w:rPr>
          <w:rFonts w:asciiTheme="minorHAnsi" w:hAnsiTheme="minorHAnsi" w:cstheme="minorBidi"/>
          <w:b w:val="0"/>
          <w:i w:val="0"/>
          <w:sz w:val="21"/>
          <w:szCs w:val="22"/>
        </w:rPr>
      </w:pPr>
      <w:r>
        <w:rPr>
          <w:sz w:val="21"/>
          <w:szCs w:val="22"/>
        </w:rPr>
        <w:fldChar w:fldCharType="begin"/>
      </w:r>
      <w:r>
        <w:rPr>
          <w:sz w:val="21"/>
          <w:szCs w:val="22"/>
        </w:rPr>
        <w:instrText xml:space="preserve">TOC \n  \t "YJ-Observation,1,sub-observation,2,3rd level observation,3" \h</w:instrText>
      </w:r>
      <w:r>
        <w:rPr>
          <w:sz w:val="21"/>
          <w:szCs w:val="22"/>
        </w:rPr>
        <w:fldChar w:fldCharType="separate"/>
      </w:r>
      <w:r>
        <w:fldChar w:fldCharType="begin"/>
      </w:r>
      <w:r>
        <w:instrText xml:space="preserve"> HYPERLINK \l "_Toc61861936" </w:instrText>
      </w:r>
      <w:r>
        <w:fldChar w:fldCharType="separate"/>
      </w:r>
      <w:r>
        <w:rPr>
          <w:rStyle w:val="25"/>
          <w:rFonts w:eastAsia="宋体"/>
        </w:rPr>
        <w:t>Observation 1:</w:t>
      </w:r>
      <w:r>
        <w:rPr>
          <w:rFonts w:asciiTheme="minorHAnsi" w:hAnsiTheme="minorHAnsi" w:cstheme="minorBidi"/>
          <w:b w:val="0"/>
          <w:i w:val="0"/>
          <w:sz w:val="21"/>
          <w:szCs w:val="22"/>
        </w:rPr>
        <w:tab/>
      </w:r>
      <w:r>
        <w:rPr>
          <w:rStyle w:val="25"/>
        </w:rPr>
        <w:t>For the solution with TDMed case-1 timing and case-6 timing, there is less specification and compatibility issue.</w:t>
      </w:r>
      <w:r>
        <w:rPr>
          <w:rStyle w:val="25"/>
        </w:rPr>
        <w:fldChar w:fldCharType="end"/>
      </w:r>
    </w:p>
    <w:p>
      <w:pPr>
        <w:pStyle w:val="16"/>
        <w:tabs>
          <w:tab w:val="left" w:pos="1470"/>
          <w:tab w:val="right" w:pos="9650"/>
        </w:tabs>
        <w:spacing w:before="120" w:after="120"/>
        <w:rPr>
          <w:rFonts w:asciiTheme="minorHAnsi" w:hAnsiTheme="minorHAnsi" w:cstheme="minorBidi"/>
          <w:b w:val="0"/>
          <w:i w:val="0"/>
          <w:sz w:val="21"/>
          <w:szCs w:val="22"/>
        </w:rPr>
      </w:pPr>
      <w:r>
        <w:fldChar w:fldCharType="begin"/>
      </w:r>
      <w:r>
        <w:instrText xml:space="preserve"> HYPERLINK \l "_Toc61861937" </w:instrText>
      </w:r>
      <w:r>
        <w:fldChar w:fldCharType="separate"/>
      </w:r>
      <w:r>
        <w:rPr>
          <w:rStyle w:val="25"/>
          <w:rFonts w:eastAsia="宋体"/>
        </w:rPr>
        <w:t>Observation 2:</w:t>
      </w:r>
      <w:r>
        <w:rPr>
          <w:rFonts w:asciiTheme="minorHAnsi" w:hAnsiTheme="minorHAnsi" w:cstheme="minorBidi"/>
          <w:b w:val="0"/>
          <w:i w:val="0"/>
          <w:sz w:val="21"/>
          <w:szCs w:val="22"/>
        </w:rPr>
        <w:tab/>
      </w:r>
      <w:r>
        <w:rPr>
          <w:rStyle w:val="25"/>
        </w:rPr>
        <w:t>Slot level alignment of case-7 timing may require more specification work and have compatibility issues with legacy access UEs.</w:t>
      </w:r>
      <w:r>
        <w:rPr>
          <w:rStyle w:val="25"/>
        </w:rPr>
        <w:fldChar w:fldCharType="end"/>
      </w:r>
    </w:p>
    <w:p>
      <w:pPr>
        <w:spacing w:before="120" w:after="120"/>
      </w:pPr>
      <w:r>
        <w:rPr>
          <w:szCs w:val="22"/>
        </w:rPr>
        <w:fldChar w:fldCharType="end"/>
      </w:r>
    </w:p>
    <w:p>
      <w:pPr>
        <w:pStyle w:val="16"/>
        <w:tabs>
          <w:tab w:val="left" w:pos="1282"/>
          <w:tab w:val="right" w:leader="dot" w:pos="9650"/>
        </w:tabs>
        <w:spacing w:before="120" w:after="120"/>
        <w:rPr>
          <w:rFonts w:asciiTheme="minorHAnsi" w:hAnsiTheme="minorHAnsi" w:cstheme="minorBidi"/>
          <w:b w:val="0"/>
          <w:i w:val="0"/>
          <w:sz w:val="21"/>
          <w:szCs w:val="22"/>
        </w:rPr>
      </w:pPr>
      <w:r>
        <w:fldChar w:fldCharType="begin"/>
      </w:r>
      <w:r>
        <w:instrText xml:space="preserve">TOC \n  \t "YJ-Proposal,1,sub-proposal,2,3rd level proposal,3" \h</w:instrText>
      </w:r>
      <w:r>
        <w:fldChar w:fldCharType="separate"/>
      </w:r>
      <w:r>
        <w:fldChar w:fldCharType="begin"/>
      </w:r>
      <w:r>
        <w:instrText xml:space="preserve"> HYPERLINK \l "_Toc61861914" </w:instrText>
      </w:r>
      <w:r>
        <w:fldChar w:fldCharType="separate"/>
      </w:r>
      <w:r>
        <w:rPr>
          <w:rStyle w:val="25"/>
          <w:rFonts w:eastAsia="宋体"/>
        </w:rPr>
        <w:t>Proposal 1:</w:t>
      </w:r>
      <w:r>
        <w:rPr>
          <w:rFonts w:asciiTheme="minorHAnsi" w:hAnsiTheme="minorHAnsi" w:cstheme="minorBidi"/>
          <w:b w:val="0"/>
          <w:i w:val="0"/>
          <w:sz w:val="21"/>
          <w:szCs w:val="22"/>
        </w:rPr>
        <w:tab/>
      </w:r>
      <w:r>
        <w:rPr>
          <w:rStyle w:val="25"/>
        </w:rPr>
        <w:t>TDMed Case-1 timing and case-6 timing should be supported at least for IAB-nodes operating in multiplexing scenario Case A:</w:t>
      </w:r>
      <w:r>
        <w:rPr>
          <w:rStyle w:val="25"/>
        </w:rPr>
        <w:fldChar w:fldCharType="end"/>
      </w:r>
    </w:p>
    <w:p>
      <w:pPr>
        <w:pStyle w:val="18"/>
        <w:tabs>
          <w:tab w:val="left" w:pos="862"/>
          <w:tab w:val="right" w:leader="dot" w:pos="9650"/>
        </w:tabs>
        <w:spacing w:before="120" w:after="120"/>
        <w:ind w:left="420"/>
        <w:rPr>
          <w:rFonts w:asciiTheme="minorHAnsi" w:hAnsiTheme="minorHAnsi" w:eastAsiaTheme="minorEastAsia" w:cstheme="minorBidi"/>
          <w:b w:val="0"/>
          <w:i w:val="0"/>
          <w:sz w:val="21"/>
          <w:szCs w:val="22"/>
        </w:rPr>
      </w:pPr>
      <w:r>
        <w:fldChar w:fldCharType="begin"/>
      </w:r>
      <w:r>
        <w:instrText xml:space="preserve"> HYPERLINK \l "_Toc61861915" </w:instrText>
      </w:r>
      <w:r>
        <w:fldChar w:fldCharType="separate"/>
      </w:r>
      <w:r>
        <w:rPr>
          <w:rStyle w:val="25"/>
          <w:rFonts w:ascii="Arial" w:hAnsi="Arial" w:cs="Arial"/>
        </w:rPr>
        <w:t>•</w:t>
      </w:r>
      <w:r>
        <w:rPr>
          <w:rFonts w:asciiTheme="minorHAnsi" w:hAnsiTheme="minorHAnsi" w:eastAsiaTheme="minorEastAsia" w:cstheme="minorBidi"/>
          <w:b w:val="0"/>
          <w:i w:val="0"/>
          <w:sz w:val="21"/>
          <w:szCs w:val="22"/>
        </w:rPr>
        <w:tab/>
      </w:r>
      <w:r>
        <w:rPr>
          <w:rStyle w:val="25"/>
        </w:rPr>
        <w:t xml:space="preserve">DL-Tx timing of case-6 timing would be equivalently derived by </w:t>
      </w:r>
      <w:r>
        <w:rPr>
          <w:rStyle w:val="25"/>
          <w:rFonts w:cs="Times"/>
        </w:rPr>
        <w:t xml:space="preserve">DL-Tx timing of </w:t>
      </w:r>
      <w:r>
        <w:rPr>
          <w:rStyle w:val="25"/>
        </w:rPr>
        <w:t>case-1 timing</w:t>
      </w:r>
      <w:r>
        <w:rPr>
          <w:rStyle w:val="25"/>
        </w:rPr>
        <w:fldChar w:fldCharType="end"/>
      </w:r>
    </w:p>
    <w:p>
      <w:pPr>
        <w:pStyle w:val="18"/>
        <w:tabs>
          <w:tab w:val="left" w:pos="862"/>
          <w:tab w:val="right" w:leader="dot" w:pos="9650"/>
        </w:tabs>
        <w:spacing w:before="120" w:after="120"/>
        <w:ind w:left="420"/>
        <w:rPr>
          <w:rFonts w:asciiTheme="minorHAnsi" w:hAnsiTheme="minorHAnsi" w:eastAsiaTheme="minorEastAsia" w:cstheme="minorBidi"/>
          <w:b w:val="0"/>
          <w:i w:val="0"/>
          <w:sz w:val="21"/>
          <w:szCs w:val="22"/>
        </w:rPr>
      </w:pPr>
      <w:r>
        <w:fldChar w:fldCharType="begin"/>
      </w:r>
      <w:r>
        <w:instrText xml:space="preserve"> HYPERLINK \l "_Toc61861916" </w:instrText>
      </w:r>
      <w:r>
        <w:fldChar w:fldCharType="separate"/>
      </w:r>
      <w:r>
        <w:rPr>
          <w:rStyle w:val="25"/>
          <w:rFonts w:ascii="Arial" w:hAnsi="Arial" w:cs="Arial"/>
        </w:rPr>
        <w:t>•</w:t>
      </w:r>
      <w:r>
        <w:rPr>
          <w:rFonts w:asciiTheme="minorHAnsi" w:hAnsiTheme="minorHAnsi" w:eastAsiaTheme="minorEastAsia" w:cstheme="minorBidi"/>
          <w:b w:val="0"/>
          <w:i w:val="0"/>
          <w:sz w:val="21"/>
          <w:szCs w:val="22"/>
        </w:rPr>
        <w:tab/>
      </w:r>
      <w:r>
        <w:rPr>
          <w:rStyle w:val="25"/>
        </w:rPr>
        <w:t>Parent node can indicate certain timing is used for UL-Tx timing to IAB-node, i.e., normal TA mechanism is used for UL-Tx timing when IAB-node operate with case-1 timing and DL-Tx timing is used for UL-Tx timing when IAB-node operate with case-6 timing</w:t>
      </w:r>
      <w:r>
        <w:rPr>
          <w:rStyle w:val="25"/>
        </w:rPr>
        <w:fldChar w:fldCharType="end"/>
      </w:r>
    </w:p>
    <w:p>
      <w:pPr>
        <w:pStyle w:val="16"/>
        <w:tabs>
          <w:tab w:val="left" w:pos="1282"/>
          <w:tab w:val="right" w:leader="dot" w:pos="9650"/>
        </w:tabs>
        <w:spacing w:before="120" w:after="120"/>
        <w:rPr>
          <w:rFonts w:asciiTheme="minorHAnsi" w:hAnsiTheme="minorHAnsi" w:cstheme="minorBidi"/>
          <w:b w:val="0"/>
          <w:i w:val="0"/>
          <w:sz w:val="21"/>
          <w:szCs w:val="22"/>
        </w:rPr>
      </w:pPr>
      <w:r>
        <w:fldChar w:fldCharType="begin"/>
      </w:r>
      <w:r>
        <w:instrText xml:space="preserve"> HYPERLINK \l "_Toc61861917" </w:instrText>
      </w:r>
      <w:r>
        <w:fldChar w:fldCharType="separate"/>
      </w:r>
      <w:r>
        <w:rPr>
          <w:rStyle w:val="25"/>
          <w:rFonts w:eastAsia="宋体"/>
        </w:rPr>
        <w:t>Proposal 2:</w:t>
      </w:r>
      <w:r>
        <w:rPr>
          <w:rFonts w:asciiTheme="minorHAnsi" w:hAnsiTheme="minorHAnsi" w:cstheme="minorBidi"/>
          <w:b w:val="0"/>
          <w:i w:val="0"/>
          <w:sz w:val="21"/>
          <w:szCs w:val="22"/>
        </w:rPr>
        <w:tab/>
      </w:r>
      <w:r>
        <w:rPr>
          <w:rStyle w:val="25"/>
        </w:rPr>
        <w:t>To resolve potential negative TA issue of case-7 timing, the following solutions could be further discussed:</w:t>
      </w:r>
      <w:r>
        <w:rPr>
          <w:rStyle w:val="25"/>
        </w:rPr>
        <w:fldChar w:fldCharType="end"/>
      </w:r>
    </w:p>
    <w:p>
      <w:pPr>
        <w:pStyle w:val="18"/>
        <w:tabs>
          <w:tab w:val="left" w:pos="862"/>
          <w:tab w:val="right" w:leader="dot" w:pos="9650"/>
        </w:tabs>
        <w:spacing w:before="120" w:after="120"/>
        <w:ind w:left="420"/>
        <w:rPr>
          <w:rFonts w:asciiTheme="minorHAnsi" w:hAnsiTheme="minorHAnsi" w:eastAsiaTheme="minorEastAsia" w:cstheme="minorBidi"/>
          <w:b w:val="0"/>
          <w:i w:val="0"/>
          <w:sz w:val="21"/>
          <w:szCs w:val="22"/>
        </w:rPr>
      </w:pPr>
      <w:r>
        <w:fldChar w:fldCharType="begin"/>
      </w:r>
      <w:r>
        <w:instrText xml:space="preserve"> HYPERLINK \l "_Toc61861918" </w:instrText>
      </w:r>
      <w:r>
        <w:fldChar w:fldCharType="separate"/>
      </w:r>
      <w:r>
        <w:rPr>
          <w:rStyle w:val="25"/>
          <w:rFonts w:ascii="Arial" w:hAnsi="Arial" w:cs="Arial"/>
        </w:rPr>
        <w:t>•</w:t>
      </w:r>
      <w:r>
        <w:rPr>
          <w:rFonts w:asciiTheme="minorHAnsi" w:hAnsiTheme="minorHAnsi" w:eastAsiaTheme="minorEastAsia" w:cstheme="minorBidi"/>
          <w:b w:val="0"/>
          <w:i w:val="0"/>
          <w:sz w:val="21"/>
          <w:szCs w:val="22"/>
        </w:rPr>
        <w:tab/>
      </w:r>
      <w:r>
        <w:rPr>
          <w:rStyle w:val="25"/>
        </w:rPr>
        <w:t>Symbol level alignment between IAB node’s UL-Rx timing and DL-Rx timing</w:t>
      </w:r>
      <w:r>
        <w:rPr>
          <w:rStyle w:val="25"/>
        </w:rPr>
        <w:fldChar w:fldCharType="end"/>
      </w:r>
    </w:p>
    <w:p>
      <w:pPr>
        <w:pStyle w:val="18"/>
        <w:tabs>
          <w:tab w:val="left" w:pos="862"/>
          <w:tab w:val="right" w:leader="dot" w:pos="9650"/>
        </w:tabs>
        <w:spacing w:before="120" w:after="120"/>
        <w:ind w:left="420"/>
        <w:rPr>
          <w:rFonts w:asciiTheme="minorHAnsi" w:hAnsiTheme="minorHAnsi" w:eastAsiaTheme="minorEastAsia" w:cstheme="minorBidi"/>
          <w:b w:val="0"/>
          <w:i w:val="0"/>
          <w:sz w:val="21"/>
          <w:szCs w:val="22"/>
        </w:rPr>
      </w:pPr>
      <w:r>
        <w:fldChar w:fldCharType="begin"/>
      </w:r>
      <w:r>
        <w:instrText xml:space="preserve"> HYPERLINK \l "_Toc61861919" </w:instrText>
      </w:r>
      <w:r>
        <w:fldChar w:fldCharType="separate"/>
      </w:r>
      <w:r>
        <w:rPr>
          <w:rStyle w:val="25"/>
          <w:rFonts w:ascii="Arial" w:hAnsi="Arial" w:cs="Arial"/>
        </w:rPr>
        <w:t>•</w:t>
      </w:r>
      <w:r>
        <w:rPr>
          <w:rFonts w:asciiTheme="minorHAnsi" w:hAnsiTheme="minorHAnsi" w:eastAsiaTheme="minorEastAsia" w:cstheme="minorBidi"/>
          <w:b w:val="0"/>
          <w:i w:val="0"/>
          <w:sz w:val="21"/>
          <w:szCs w:val="22"/>
        </w:rPr>
        <w:tab/>
      </w:r>
      <w:r>
        <w:rPr>
          <w:rStyle w:val="25"/>
        </w:rPr>
        <w:t>Case-1 timing and case-7 timing operating in TDMed mode</w:t>
      </w:r>
      <w:r>
        <w:rPr>
          <w:rStyle w:val="25"/>
        </w:rPr>
        <w:fldChar w:fldCharType="end"/>
      </w:r>
    </w:p>
    <w:p>
      <w:pPr>
        <w:pStyle w:val="16"/>
        <w:tabs>
          <w:tab w:val="left" w:pos="1282"/>
          <w:tab w:val="right" w:leader="dot" w:pos="9650"/>
        </w:tabs>
        <w:spacing w:before="120" w:after="120"/>
        <w:rPr>
          <w:rFonts w:asciiTheme="minorHAnsi" w:hAnsiTheme="minorHAnsi" w:cstheme="minorBidi"/>
          <w:b w:val="0"/>
          <w:i w:val="0"/>
          <w:sz w:val="21"/>
          <w:szCs w:val="22"/>
        </w:rPr>
      </w:pPr>
      <w:r>
        <w:fldChar w:fldCharType="begin"/>
      </w:r>
      <w:r>
        <w:instrText xml:space="preserve"> HYPERLINK \l "_Toc61861920" </w:instrText>
      </w:r>
      <w:r>
        <w:fldChar w:fldCharType="separate"/>
      </w:r>
      <w:r>
        <w:rPr>
          <w:rStyle w:val="25"/>
          <w:rFonts w:eastAsia="宋体"/>
        </w:rPr>
        <w:t>Proposal 3:</w:t>
      </w:r>
      <w:r>
        <w:rPr>
          <w:rFonts w:asciiTheme="minorHAnsi" w:hAnsiTheme="minorHAnsi" w:cstheme="minorBidi"/>
          <w:b w:val="0"/>
          <w:i w:val="0"/>
          <w:sz w:val="21"/>
          <w:szCs w:val="22"/>
        </w:rPr>
        <w:tab/>
      </w:r>
      <w:r>
        <w:rPr>
          <w:rStyle w:val="25"/>
        </w:rPr>
        <w:t>Beam depended DL power control of IAB-DU should be considered, IAB-DU provides DL power control parameters and associated beam information to child-MTs (e.g., different PC parameters could be associated with different TCI states, or CSI-RSs).</w:t>
      </w:r>
      <w:r>
        <w:rPr>
          <w:rStyle w:val="25"/>
        </w:rPr>
        <w:fldChar w:fldCharType="end"/>
      </w:r>
    </w:p>
    <w:p>
      <w:pPr>
        <w:pStyle w:val="16"/>
        <w:tabs>
          <w:tab w:val="left" w:pos="1282"/>
          <w:tab w:val="right" w:leader="dot" w:pos="9650"/>
        </w:tabs>
        <w:spacing w:before="120" w:after="120"/>
        <w:rPr>
          <w:rFonts w:asciiTheme="minorHAnsi" w:hAnsiTheme="minorHAnsi" w:cstheme="minorBidi"/>
          <w:b w:val="0"/>
          <w:i w:val="0"/>
          <w:sz w:val="21"/>
          <w:szCs w:val="22"/>
        </w:rPr>
      </w:pPr>
      <w:r>
        <w:fldChar w:fldCharType="begin"/>
      </w:r>
      <w:r>
        <w:instrText xml:space="preserve"> HYPERLINK \l "_Toc61861921" </w:instrText>
      </w:r>
      <w:r>
        <w:fldChar w:fldCharType="separate"/>
      </w:r>
      <w:r>
        <w:rPr>
          <w:rStyle w:val="25"/>
          <w:rFonts w:eastAsia="宋体"/>
        </w:rPr>
        <w:t>Proposal 4:</w:t>
      </w:r>
      <w:r>
        <w:rPr>
          <w:rFonts w:asciiTheme="minorHAnsi" w:hAnsiTheme="minorHAnsi" w:cstheme="minorBidi"/>
          <w:b w:val="0"/>
          <w:i w:val="0"/>
          <w:sz w:val="21"/>
          <w:szCs w:val="22"/>
        </w:rPr>
        <w:tab/>
      </w:r>
      <w:r>
        <w:rPr>
          <w:rStyle w:val="25"/>
        </w:rPr>
        <w:t>Expected DL Rx power level (or equivalent parameters) and associated beam information could be indicated by child node to IAB node to assist the DL power control of IAB-DU.</w:t>
      </w:r>
      <w:r>
        <w:rPr>
          <w:rStyle w:val="25"/>
        </w:rPr>
        <w:fldChar w:fldCharType="end"/>
      </w:r>
    </w:p>
    <w:p>
      <w:pPr>
        <w:pStyle w:val="16"/>
        <w:tabs>
          <w:tab w:val="left" w:pos="1282"/>
          <w:tab w:val="right" w:leader="dot" w:pos="9650"/>
        </w:tabs>
        <w:spacing w:before="120" w:after="120"/>
        <w:rPr>
          <w:rFonts w:asciiTheme="minorHAnsi" w:hAnsiTheme="minorHAnsi" w:cstheme="minorBidi"/>
          <w:b w:val="0"/>
          <w:i w:val="0"/>
          <w:sz w:val="21"/>
          <w:szCs w:val="22"/>
        </w:rPr>
      </w:pPr>
      <w:r>
        <w:fldChar w:fldCharType="begin"/>
      </w:r>
      <w:r>
        <w:instrText xml:space="preserve"> HYPERLINK \l "_Toc61861922" </w:instrText>
      </w:r>
      <w:r>
        <w:fldChar w:fldCharType="separate"/>
      </w:r>
      <w:r>
        <w:rPr>
          <w:rStyle w:val="25"/>
          <w:rFonts w:eastAsia="宋体"/>
        </w:rPr>
        <w:t>Proposal 5:</w:t>
      </w:r>
      <w:r>
        <w:rPr>
          <w:rFonts w:asciiTheme="minorHAnsi" w:hAnsiTheme="minorHAnsi" w:cstheme="minorBidi"/>
          <w:b w:val="0"/>
          <w:i w:val="0"/>
          <w:sz w:val="21"/>
          <w:szCs w:val="22"/>
        </w:rPr>
        <w:tab/>
      </w:r>
      <w:r>
        <w:rPr>
          <w:rStyle w:val="25"/>
        </w:rPr>
        <w:t>For an IAB node, maximum allowed power for UL Tx power of IAB-MT and maximum allowed power for DL Tx power of IAB-DU can be respectively configured by CU.</w:t>
      </w:r>
      <w:r>
        <w:rPr>
          <w:rStyle w:val="25"/>
        </w:rPr>
        <w:fldChar w:fldCharType="end"/>
      </w:r>
    </w:p>
    <w:p>
      <w:pPr>
        <w:pStyle w:val="16"/>
        <w:tabs>
          <w:tab w:val="left" w:pos="1282"/>
          <w:tab w:val="right" w:leader="dot" w:pos="9650"/>
        </w:tabs>
        <w:spacing w:before="120" w:after="120"/>
        <w:rPr>
          <w:rFonts w:asciiTheme="minorHAnsi" w:hAnsiTheme="minorHAnsi" w:cstheme="minorBidi"/>
          <w:b w:val="0"/>
          <w:i w:val="0"/>
          <w:sz w:val="21"/>
          <w:szCs w:val="22"/>
        </w:rPr>
      </w:pPr>
      <w:r>
        <w:fldChar w:fldCharType="begin"/>
      </w:r>
      <w:r>
        <w:instrText xml:space="preserve"> HYPERLINK \l "_Toc61861923" </w:instrText>
      </w:r>
      <w:r>
        <w:fldChar w:fldCharType="separate"/>
      </w:r>
      <w:r>
        <w:rPr>
          <w:rStyle w:val="25"/>
          <w:rFonts w:eastAsia="宋体"/>
        </w:rPr>
        <w:t>Proposal 6:</w:t>
      </w:r>
      <w:r>
        <w:rPr>
          <w:rFonts w:asciiTheme="minorHAnsi" w:hAnsiTheme="minorHAnsi" w:cstheme="minorBidi"/>
          <w:b w:val="0"/>
          <w:i w:val="0"/>
          <w:sz w:val="21"/>
          <w:szCs w:val="22"/>
        </w:rPr>
        <w:tab/>
      </w:r>
      <w:r>
        <w:rPr>
          <w:rStyle w:val="25"/>
        </w:rPr>
        <w:t>UL power control mechanism of NR access UE can be reused for MT.</w:t>
      </w:r>
      <w:r>
        <w:rPr>
          <w:rStyle w:val="25"/>
        </w:rPr>
        <w:fldChar w:fldCharType="end"/>
      </w:r>
    </w:p>
    <w:p>
      <w:pPr>
        <w:pStyle w:val="16"/>
        <w:tabs>
          <w:tab w:val="left" w:pos="1282"/>
          <w:tab w:val="right" w:leader="dot" w:pos="9650"/>
        </w:tabs>
        <w:spacing w:before="120" w:after="120"/>
        <w:rPr>
          <w:rFonts w:asciiTheme="minorHAnsi" w:hAnsiTheme="minorHAnsi" w:cstheme="minorBidi"/>
          <w:b w:val="0"/>
          <w:i w:val="0"/>
          <w:sz w:val="21"/>
          <w:szCs w:val="22"/>
        </w:rPr>
      </w:pPr>
      <w:r>
        <w:fldChar w:fldCharType="begin"/>
      </w:r>
      <w:r>
        <w:instrText xml:space="preserve"> HYPERLINK \l "_Toc61861924" </w:instrText>
      </w:r>
      <w:r>
        <w:fldChar w:fldCharType="separate"/>
      </w:r>
      <w:r>
        <w:rPr>
          <w:rStyle w:val="25"/>
          <w:rFonts w:eastAsia="宋体"/>
        </w:rPr>
        <w:t>Proposal 7:</w:t>
      </w:r>
      <w:r>
        <w:rPr>
          <w:rFonts w:asciiTheme="minorHAnsi" w:hAnsiTheme="minorHAnsi" w:cstheme="minorBidi"/>
          <w:b w:val="0"/>
          <w:i w:val="0"/>
          <w:sz w:val="21"/>
          <w:szCs w:val="22"/>
        </w:rPr>
        <w:tab/>
      </w:r>
      <w:r>
        <w:rPr>
          <w:rStyle w:val="25"/>
        </w:rPr>
        <w:t>For UL power control of child-MT, different maximum allowed Tx power per multiplexing scenarios or time domain resources can be reported by child MT to IAB node.</w:t>
      </w:r>
      <w:r>
        <w:rPr>
          <w:rStyle w:val="25"/>
        </w:rPr>
        <w:fldChar w:fldCharType="end"/>
      </w:r>
    </w:p>
    <w:p>
      <w:pPr>
        <w:pStyle w:val="16"/>
        <w:tabs>
          <w:tab w:val="left" w:pos="1282"/>
          <w:tab w:val="right" w:leader="dot" w:pos="9650"/>
        </w:tabs>
        <w:spacing w:before="120" w:after="120"/>
        <w:rPr>
          <w:rFonts w:asciiTheme="minorHAnsi" w:hAnsiTheme="minorHAnsi" w:cstheme="minorBidi"/>
          <w:b w:val="0"/>
          <w:i w:val="0"/>
          <w:sz w:val="21"/>
          <w:szCs w:val="22"/>
        </w:rPr>
      </w:pPr>
      <w:r>
        <w:fldChar w:fldCharType="begin"/>
      </w:r>
      <w:r>
        <w:instrText xml:space="preserve"> HYPERLINK \l "_Toc61861925" </w:instrText>
      </w:r>
      <w:r>
        <w:fldChar w:fldCharType="separate"/>
      </w:r>
      <w:r>
        <w:rPr>
          <w:rStyle w:val="25"/>
          <w:rFonts w:eastAsia="宋体"/>
        </w:rPr>
        <w:t>Proposal 8:</w:t>
      </w:r>
      <w:r>
        <w:rPr>
          <w:rFonts w:asciiTheme="minorHAnsi" w:hAnsiTheme="minorHAnsi" w:cstheme="minorBidi"/>
          <w:b w:val="0"/>
          <w:i w:val="0"/>
          <w:sz w:val="21"/>
          <w:szCs w:val="22"/>
        </w:rPr>
        <w:tab/>
      </w:r>
      <w:r>
        <w:rPr>
          <w:rStyle w:val="25"/>
        </w:rPr>
        <w:t>For adjacent node interference, the following interference management should be focused on:</w:t>
      </w:r>
      <w:r>
        <w:rPr>
          <w:rStyle w:val="25"/>
        </w:rPr>
        <w:fldChar w:fldCharType="end"/>
      </w:r>
    </w:p>
    <w:p>
      <w:pPr>
        <w:pStyle w:val="18"/>
        <w:tabs>
          <w:tab w:val="left" w:pos="862"/>
          <w:tab w:val="right" w:leader="dot" w:pos="9650"/>
        </w:tabs>
        <w:spacing w:before="120" w:after="120"/>
        <w:ind w:left="420"/>
        <w:rPr>
          <w:rFonts w:asciiTheme="minorHAnsi" w:hAnsiTheme="minorHAnsi" w:eastAsiaTheme="minorEastAsia" w:cstheme="minorBidi"/>
          <w:b w:val="0"/>
          <w:i w:val="0"/>
          <w:sz w:val="21"/>
          <w:szCs w:val="22"/>
        </w:rPr>
      </w:pPr>
      <w:r>
        <w:fldChar w:fldCharType="begin"/>
      </w:r>
      <w:r>
        <w:instrText xml:space="preserve"> HYPERLINK \l "_Toc61861926" </w:instrText>
      </w:r>
      <w:r>
        <w:fldChar w:fldCharType="separate"/>
      </w:r>
      <w:r>
        <w:rPr>
          <w:rStyle w:val="25"/>
          <w:rFonts w:ascii="Arial" w:hAnsi="Arial" w:cs="Arial"/>
        </w:rPr>
        <w:t>•</w:t>
      </w:r>
      <w:r>
        <w:rPr>
          <w:rFonts w:asciiTheme="minorHAnsi" w:hAnsiTheme="minorHAnsi" w:eastAsiaTheme="minorEastAsia" w:cstheme="minorBidi"/>
          <w:b w:val="0"/>
          <w:i w:val="0"/>
          <w:sz w:val="21"/>
          <w:szCs w:val="22"/>
        </w:rPr>
        <w:tab/>
      </w:r>
      <w:r>
        <w:rPr>
          <w:rStyle w:val="25"/>
        </w:rPr>
        <w:t>IAB-MT Tx interfering child MT Rx</w:t>
      </w:r>
      <w:r>
        <w:rPr>
          <w:rStyle w:val="25"/>
        </w:rPr>
        <w:fldChar w:fldCharType="end"/>
      </w:r>
    </w:p>
    <w:p>
      <w:pPr>
        <w:pStyle w:val="18"/>
        <w:tabs>
          <w:tab w:val="left" w:pos="862"/>
          <w:tab w:val="right" w:leader="dot" w:pos="9650"/>
        </w:tabs>
        <w:spacing w:before="120" w:after="120"/>
        <w:ind w:left="420"/>
        <w:rPr>
          <w:rFonts w:asciiTheme="minorHAnsi" w:hAnsiTheme="minorHAnsi" w:eastAsiaTheme="minorEastAsia" w:cstheme="minorBidi"/>
          <w:b w:val="0"/>
          <w:i w:val="0"/>
          <w:sz w:val="21"/>
          <w:szCs w:val="22"/>
        </w:rPr>
      </w:pPr>
      <w:r>
        <w:fldChar w:fldCharType="begin"/>
      </w:r>
      <w:r>
        <w:instrText xml:space="preserve"> HYPERLINK \l "_Toc61861927" </w:instrText>
      </w:r>
      <w:r>
        <w:fldChar w:fldCharType="separate"/>
      </w:r>
      <w:r>
        <w:rPr>
          <w:rStyle w:val="25"/>
          <w:rFonts w:ascii="Arial" w:hAnsi="Arial" w:cs="Arial"/>
        </w:rPr>
        <w:t>•</w:t>
      </w:r>
      <w:r>
        <w:rPr>
          <w:rFonts w:asciiTheme="minorHAnsi" w:hAnsiTheme="minorHAnsi" w:eastAsiaTheme="minorEastAsia" w:cstheme="minorBidi"/>
          <w:b w:val="0"/>
          <w:i w:val="0"/>
          <w:sz w:val="21"/>
          <w:szCs w:val="22"/>
        </w:rPr>
        <w:tab/>
      </w:r>
      <w:r>
        <w:rPr>
          <w:rStyle w:val="25"/>
        </w:rPr>
        <w:t>Child MT Tx interfering IAB MT Rx</w:t>
      </w:r>
      <w:r>
        <w:rPr>
          <w:rStyle w:val="25"/>
        </w:rPr>
        <w:fldChar w:fldCharType="end"/>
      </w:r>
    </w:p>
    <w:p>
      <w:pPr>
        <w:pStyle w:val="18"/>
        <w:tabs>
          <w:tab w:val="left" w:pos="862"/>
          <w:tab w:val="right" w:leader="dot" w:pos="9650"/>
        </w:tabs>
        <w:spacing w:before="120" w:after="120"/>
        <w:ind w:left="420"/>
        <w:rPr>
          <w:rFonts w:asciiTheme="minorHAnsi" w:hAnsiTheme="minorHAnsi" w:eastAsiaTheme="minorEastAsia" w:cstheme="minorBidi"/>
          <w:b w:val="0"/>
          <w:i w:val="0"/>
          <w:sz w:val="21"/>
          <w:szCs w:val="22"/>
        </w:rPr>
      </w:pPr>
      <w:r>
        <w:fldChar w:fldCharType="begin"/>
      </w:r>
      <w:r>
        <w:instrText xml:space="preserve"> HYPERLINK \l "_Toc61861928" </w:instrText>
      </w:r>
      <w:r>
        <w:fldChar w:fldCharType="separate"/>
      </w:r>
      <w:r>
        <w:rPr>
          <w:rStyle w:val="25"/>
          <w:rFonts w:ascii="Arial" w:hAnsi="Arial" w:cs="Arial"/>
          <w:lang w:val="fr-FR"/>
        </w:rPr>
        <w:t>•</w:t>
      </w:r>
      <w:r>
        <w:rPr>
          <w:rFonts w:asciiTheme="minorHAnsi" w:hAnsiTheme="minorHAnsi" w:eastAsiaTheme="minorEastAsia" w:cstheme="minorBidi"/>
          <w:b w:val="0"/>
          <w:i w:val="0"/>
          <w:sz w:val="21"/>
          <w:szCs w:val="22"/>
        </w:rPr>
        <w:tab/>
      </w:r>
      <w:r>
        <w:rPr>
          <w:rStyle w:val="25"/>
          <w:lang w:val="fr-FR"/>
        </w:rPr>
        <w:t>IAB DU Tx interfering parent DU Rx</w:t>
      </w:r>
      <w:r>
        <w:rPr>
          <w:rStyle w:val="25"/>
          <w:lang w:val="fr-FR"/>
        </w:rPr>
        <w:fldChar w:fldCharType="end"/>
      </w:r>
    </w:p>
    <w:p>
      <w:pPr>
        <w:pStyle w:val="18"/>
        <w:tabs>
          <w:tab w:val="left" w:pos="862"/>
          <w:tab w:val="right" w:leader="dot" w:pos="9650"/>
        </w:tabs>
        <w:spacing w:before="120" w:after="120"/>
        <w:ind w:left="420"/>
        <w:rPr>
          <w:rFonts w:asciiTheme="minorHAnsi" w:hAnsiTheme="minorHAnsi" w:eastAsiaTheme="minorEastAsia" w:cstheme="minorBidi"/>
          <w:b w:val="0"/>
          <w:i w:val="0"/>
          <w:sz w:val="21"/>
          <w:szCs w:val="22"/>
        </w:rPr>
      </w:pPr>
      <w:r>
        <w:fldChar w:fldCharType="begin"/>
      </w:r>
      <w:r>
        <w:instrText xml:space="preserve"> HYPERLINK \l "_Toc61861929" </w:instrText>
      </w:r>
      <w:r>
        <w:fldChar w:fldCharType="separate"/>
      </w:r>
      <w:r>
        <w:rPr>
          <w:rStyle w:val="25"/>
          <w:rFonts w:ascii="Arial" w:hAnsi="Arial" w:cs="Arial"/>
          <w:lang w:val="fr-FR"/>
        </w:rPr>
        <w:t>•</w:t>
      </w:r>
      <w:r>
        <w:rPr>
          <w:rFonts w:asciiTheme="minorHAnsi" w:hAnsiTheme="minorHAnsi" w:eastAsiaTheme="minorEastAsia" w:cstheme="minorBidi"/>
          <w:b w:val="0"/>
          <w:i w:val="0"/>
          <w:sz w:val="21"/>
          <w:szCs w:val="22"/>
        </w:rPr>
        <w:tab/>
      </w:r>
      <w:r>
        <w:rPr>
          <w:rStyle w:val="25"/>
          <w:lang w:val="fr-FR"/>
        </w:rPr>
        <w:t>Parent DU Tx interfering IAB DU Rx</w:t>
      </w:r>
      <w:r>
        <w:rPr>
          <w:rStyle w:val="25"/>
          <w:lang w:val="fr-FR"/>
        </w:rPr>
        <w:fldChar w:fldCharType="end"/>
      </w:r>
    </w:p>
    <w:p>
      <w:pPr>
        <w:pStyle w:val="16"/>
        <w:tabs>
          <w:tab w:val="left" w:pos="1282"/>
          <w:tab w:val="right" w:leader="dot" w:pos="9650"/>
        </w:tabs>
        <w:spacing w:before="120" w:after="120"/>
        <w:rPr>
          <w:rFonts w:asciiTheme="minorHAnsi" w:hAnsiTheme="minorHAnsi" w:cstheme="minorBidi"/>
          <w:b w:val="0"/>
          <w:i w:val="0"/>
          <w:sz w:val="21"/>
          <w:szCs w:val="22"/>
        </w:rPr>
      </w:pPr>
      <w:r>
        <w:fldChar w:fldCharType="begin"/>
      </w:r>
      <w:r>
        <w:instrText xml:space="preserve"> HYPERLINK \l "_Toc61861930" </w:instrText>
      </w:r>
      <w:r>
        <w:fldChar w:fldCharType="separate"/>
      </w:r>
      <w:r>
        <w:rPr>
          <w:rStyle w:val="25"/>
          <w:rFonts w:eastAsia="宋体"/>
        </w:rPr>
        <w:t>Proposal 9:</w:t>
      </w:r>
      <w:r>
        <w:rPr>
          <w:rFonts w:asciiTheme="minorHAnsi" w:hAnsiTheme="minorHAnsi" w:cstheme="minorBidi"/>
          <w:b w:val="0"/>
          <w:i w:val="0"/>
          <w:sz w:val="21"/>
          <w:szCs w:val="22"/>
        </w:rPr>
        <w:tab/>
      </w:r>
      <w:r>
        <w:rPr>
          <w:rStyle w:val="25"/>
        </w:rPr>
        <w:t>For inter IAB interference other than adjacent node interference, no enhancement of interference management is desired.</w:t>
      </w:r>
      <w:r>
        <w:rPr>
          <w:rStyle w:val="25"/>
        </w:rPr>
        <w:fldChar w:fldCharType="end"/>
      </w:r>
    </w:p>
    <w:p>
      <w:pPr>
        <w:pStyle w:val="16"/>
        <w:tabs>
          <w:tab w:val="left" w:pos="1282"/>
          <w:tab w:val="right" w:leader="dot" w:pos="9650"/>
        </w:tabs>
        <w:spacing w:before="120" w:after="120"/>
        <w:rPr>
          <w:rFonts w:asciiTheme="minorHAnsi" w:hAnsiTheme="minorHAnsi" w:cstheme="minorBidi"/>
          <w:b w:val="0"/>
          <w:i w:val="0"/>
          <w:sz w:val="21"/>
          <w:szCs w:val="22"/>
        </w:rPr>
      </w:pPr>
      <w:r>
        <w:fldChar w:fldCharType="begin"/>
      </w:r>
      <w:r>
        <w:instrText xml:space="preserve"> HYPERLINK \l "_Toc61861931" </w:instrText>
      </w:r>
      <w:r>
        <w:fldChar w:fldCharType="separate"/>
      </w:r>
      <w:r>
        <w:rPr>
          <w:rStyle w:val="25"/>
          <w:rFonts w:eastAsia="宋体"/>
        </w:rPr>
        <w:t>Proposal 10:</w:t>
      </w:r>
      <w:r>
        <w:rPr>
          <w:rFonts w:asciiTheme="minorHAnsi" w:hAnsiTheme="minorHAnsi" w:cstheme="minorBidi"/>
          <w:b w:val="0"/>
          <w:i w:val="0"/>
          <w:sz w:val="21"/>
          <w:szCs w:val="22"/>
        </w:rPr>
        <w:tab/>
      </w:r>
      <w:r>
        <w:rPr>
          <w:rStyle w:val="25"/>
        </w:rPr>
        <w:t>Enhancement on interference management for IAB to non-IAB-DU is not necessary.</w:t>
      </w:r>
      <w:r>
        <w:rPr>
          <w:rStyle w:val="25"/>
        </w:rPr>
        <w:fldChar w:fldCharType="end"/>
      </w:r>
    </w:p>
    <w:p>
      <w:pPr>
        <w:pStyle w:val="16"/>
        <w:tabs>
          <w:tab w:val="left" w:pos="1282"/>
          <w:tab w:val="right" w:leader="dot" w:pos="9650"/>
        </w:tabs>
        <w:spacing w:before="120" w:after="120"/>
        <w:rPr>
          <w:rFonts w:asciiTheme="minorHAnsi" w:hAnsiTheme="minorHAnsi" w:cstheme="minorBidi"/>
          <w:b w:val="0"/>
          <w:i w:val="0"/>
          <w:sz w:val="21"/>
          <w:szCs w:val="22"/>
        </w:rPr>
      </w:pPr>
      <w:r>
        <w:fldChar w:fldCharType="begin"/>
      </w:r>
      <w:r>
        <w:instrText xml:space="preserve"> HYPERLINK \l "_Toc61861932" </w:instrText>
      </w:r>
      <w:r>
        <w:fldChar w:fldCharType="separate"/>
      </w:r>
      <w:r>
        <w:rPr>
          <w:rStyle w:val="25"/>
          <w:rFonts w:eastAsia="宋体"/>
        </w:rPr>
        <w:t>Proposal 11:</w:t>
      </w:r>
      <w:r>
        <w:rPr>
          <w:rFonts w:asciiTheme="minorHAnsi" w:hAnsiTheme="minorHAnsi" w:cstheme="minorBidi"/>
          <w:b w:val="0"/>
          <w:i w:val="0"/>
          <w:sz w:val="21"/>
          <w:szCs w:val="22"/>
        </w:rPr>
        <w:tab/>
      </w:r>
      <w:r>
        <w:rPr>
          <w:rStyle w:val="25"/>
        </w:rPr>
        <w:t>The interference for Intra-IAB-node (self-interference) can be handled by IAB node implementation.</w:t>
      </w:r>
      <w:r>
        <w:rPr>
          <w:rStyle w:val="25"/>
        </w:rPr>
        <w:fldChar w:fldCharType="end"/>
      </w:r>
    </w:p>
    <w:p>
      <w:pPr>
        <w:pStyle w:val="16"/>
        <w:tabs>
          <w:tab w:val="left" w:pos="1282"/>
          <w:tab w:val="right" w:leader="dot" w:pos="9650"/>
        </w:tabs>
        <w:spacing w:before="120" w:after="120"/>
        <w:rPr>
          <w:rFonts w:asciiTheme="minorHAnsi" w:hAnsiTheme="minorHAnsi" w:cstheme="minorBidi"/>
          <w:b w:val="0"/>
          <w:i w:val="0"/>
          <w:sz w:val="21"/>
          <w:szCs w:val="22"/>
        </w:rPr>
      </w:pPr>
      <w:r>
        <w:fldChar w:fldCharType="begin"/>
      </w:r>
      <w:r>
        <w:instrText xml:space="preserve"> HYPERLINK \l "_Toc61861933" </w:instrText>
      </w:r>
      <w:r>
        <w:fldChar w:fldCharType="separate"/>
      </w:r>
      <w:r>
        <w:rPr>
          <w:rStyle w:val="25"/>
          <w:rFonts w:eastAsia="宋体"/>
        </w:rPr>
        <w:t>Proposal 12:</w:t>
      </w:r>
      <w:r>
        <w:rPr>
          <w:rFonts w:asciiTheme="minorHAnsi" w:hAnsiTheme="minorHAnsi" w:cstheme="minorBidi"/>
          <w:b w:val="0"/>
          <w:i w:val="0"/>
          <w:sz w:val="21"/>
          <w:szCs w:val="22"/>
        </w:rPr>
        <w:tab/>
      </w:r>
      <w:r>
        <w:rPr>
          <w:rStyle w:val="25"/>
          <w:rFonts w:eastAsia="Calibri" w:cs="Times"/>
        </w:rPr>
        <w:t>IAB</w:t>
      </w:r>
      <w:r>
        <w:rPr>
          <w:rStyle w:val="25"/>
          <w:rFonts w:cs="Times"/>
        </w:rPr>
        <w:t>-</w:t>
      </w:r>
      <w:r>
        <w:rPr>
          <w:rStyle w:val="25"/>
          <w:rFonts w:eastAsia="Calibri" w:cs="Times"/>
        </w:rPr>
        <w:t>node (MT) transmissions</w:t>
      </w:r>
      <w:r>
        <w:rPr>
          <w:rStyle w:val="25"/>
          <w:rFonts w:cs="Times"/>
        </w:rPr>
        <w:t xml:space="preserve"> can be in DL/UL/F access slots</w:t>
      </w:r>
      <w:r>
        <w:rPr>
          <w:rStyle w:val="25"/>
        </w:rPr>
        <w:t>.</w:t>
      </w:r>
      <w:r>
        <w:rPr>
          <w:rStyle w:val="25"/>
        </w:rPr>
        <w:fldChar w:fldCharType="end"/>
      </w:r>
    </w:p>
    <w:p>
      <w:pPr>
        <w:pStyle w:val="16"/>
        <w:tabs>
          <w:tab w:val="left" w:pos="1282"/>
          <w:tab w:val="right" w:leader="dot" w:pos="9650"/>
        </w:tabs>
        <w:spacing w:before="120" w:after="120"/>
        <w:rPr>
          <w:rFonts w:asciiTheme="minorHAnsi" w:hAnsiTheme="minorHAnsi" w:cstheme="minorBidi"/>
          <w:b w:val="0"/>
          <w:i w:val="0"/>
          <w:sz w:val="21"/>
          <w:szCs w:val="22"/>
        </w:rPr>
      </w:pPr>
      <w:r>
        <w:fldChar w:fldCharType="begin"/>
      </w:r>
      <w:r>
        <w:instrText xml:space="preserve"> HYPERLINK \l "_Toc61861934" </w:instrText>
      </w:r>
      <w:r>
        <w:fldChar w:fldCharType="separate"/>
      </w:r>
      <w:r>
        <w:rPr>
          <w:rStyle w:val="25"/>
          <w:rFonts w:eastAsia="宋体"/>
        </w:rPr>
        <w:t>Proposal 13:</w:t>
      </w:r>
      <w:r>
        <w:rPr>
          <w:rFonts w:asciiTheme="minorHAnsi" w:hAnsiTheme="minorHAnsi" w:cstheme="minorBidi"/>
          <w:b w:val="0"/>
          <w:i w:val="0"/>
          <w:sz w:val="21"/>
          <w:szCs w:val="22"/>
        </w:rPr>
        <w:tab/>
      </w:r>
      <w:r>
        <w:rPr>
          <w:rStyle w:val="25"/>
          <w:rFonts w:cs="Times"/>
        </w:rPr>
        <w:t>To</w:t>
      </w:r>
      <w:r>
        <w:rPr>
          <w:rStyle w:val="25"/>
          <w:rFonts w:eastAsia="Calibri" w:cs="Times"/>
        </w:rPr>
        <w:t xml:space="preserve"> </w:t>
      </w:r>
      <w:r>
        <w:rPr>
          <w:rStyle w:val="25"/>
          <w:rFonts w:cs="Times"/>
        </w:rPr>
        <w:t>improve efficiency of resource multiplexing</w:t>
      </w:r>
      <w:r>
        <w:rPr>
          <w:rStyle w:val="25"/>
          <w:rFonts w:eastAsia="Calibri" w:cs="Times"/>
        </w:rPr>
        <w:t>, the</w:t>
      </w:r>
      <w:r>
        <w:rPr>
          <w:rStyle w:val="25"/>
          <w:rFonts w:cs="Times"/>
        </w:rPr>
        <w:t xml:space="preserve"> desired TCI and desired SRI should be </w:t>
      </w:r>
      <w:r>
        <w:rPr>
          <w:rStyle w:val="25"/>
          <w:rFonts w:eastAsia="Calibri" w:cs="Times"/>
        </w:rPr>
        <w:t>exchange</w:t>
      </w:r>
      <w:r>
        <w:rPr>
          <w:rStyle w:val="25"/>
          <w:rFonts w:cs="Times"/>
        </w:rPr>
        <w:t>d</w:t>
      </w:r>
      <w:r>
        <w:rPr>
          <w:rStyle w:val="25"/>
          <w:rFonts w:eastAsia="Calibri" w:cs="Times"/>
        </w:rPr>
        <w:t xml:space="preserve"> </w:t>
      </w:r>
      <w:r>
        <w:rPr>
          <w:rStyle w:val="25"/>
          <w:rFonts w:cs="Times"/>
        </w:rPr>
        <w:t>between IAB node and its parent node, or between IAB node and its child node</w:t>
      </w:r>
      <w:r>
        <w:rPr>
          <w:rStyle w:val="25"/>
        </w:rPr>
        <w:t>.</w:t>
      </w:r>
      <w:r>
        <w:rPr>
          <w:rStyle w:val="25"/>
        </w:rPr>
        <w:fldChar w:fldCharType="end"/>
      </w:r>
    </w:p>
    <w:p>
      <w:pPr>
        <w:pStyle w:val="16"/>
        <w:tabs>
          <w:tab w:val="left" w:pos="1282"/>
          <w:tab w:val="right" w:leader="dot" w:pos="9650"/>
        </w:tabs>
        <w:spacing w:before="120" w:after="120"/>
        <w:rPr>
          <w:rFonts w:asciiTheme="minorHAnsi" w:hAnsiTheme="minorHAnsi" w:cstheme="minorBidi"/>
          <w:b w:val="0"/>
          <w:i w:val="0"/>
          <w:sz w:val="21"/>
          <w:szCs w:val="22"/>
        </w:rPr>
      </w:pPr>
      <w:r>
        <w:fldChar w:fldCharType="begin"/>
      </w:r>
      <w:r>
        <w:instrText xml:space="preserve"> HYPERLINK \l "_Toc61861935" </w:instrText>
      </w:r>
      <w:r>
        <w:fldChar w:fldCharType="separate"/>
      </w:r>
      <w:r>
        <w:rPr>
          <w:rStyle w:val="25"/>
          <w:rFonts w:eastAsia="宋体"/>
        </w:rPr>
        <w:t>Proposal 14:</w:t>
      </w:r>
      <w:r>
        <w:rPr>
          <w:rFonts w:asciiTheme="minorHAnsi" w:hAnsiTheme="minorHAnsi" w:cstheme="minorBidi"/>
          <w:b w:val="0"/>
          <w:i w:val="0"/>
          <w:sz w:val="21"/>
          <w:szCs w:val="22"/>
        </w:rPr>
        <w:tab/>
      </w:r>
      <w:r>
        <w:rPr>
          <w:rStyle w:val="25"/>
          <w:rFonts w:cs="Times"/>
        </w:rPr>
        <w:t>T</w:t>
      </w:r>
      <w:r>
        <w:rPr>
          <w:rStyle w:val="25"/>
          <w:rFonts w:eastAsia="Calibri" w:cs="Times"/>
        </w:rPr>
        <w:t>iming adjustment</w:t>
      </w:r>
      <w:r>
        <w:rPr>
          <w:rStyle w:val="25"/>
          <w:rFonts w:cs="Times"/>
        </w:rPr>
        <w:t xml:space="preserve"> for </w:t>
      </w:r>
      <w:r>
        <w:rPr>
          <w:rStyle w:val="25"/>
        </w:rPr>
        <w:t xml:space="preserve">enhancements on CLI measurement accuracy </w:t>
      </w:r>
      <w:r>
        <w:rPr>
          <w:rStyle w:val="25"/>
          <w:rFonts w:eastAsia="Calibri" w:cs="Times"/>
        </w:rPr>
        <w:t>can</w:t>
      </w:r>
      <w:r>
        <w:rPr>
          <w:rStyle w:val="25"/>
          <w:rFonts w:cs="Times"/>
        </w:rPr>
        <w:t xml:space="preserve"> be</w:t>
      </w:r>
      <w:r>
        <w:rPr>
          <w:rStyle w:val="25"/>
          <w:rFonts w:eastAsia="Calibri" w:cs="Times"/>
        </w:rPr>
        <w:t xml:space="preserve"> </w:t>
      </w:r>
      <w:r>
        <w:rPr>
          <w:rStyle w:val="25"/>
          <w:rFonts w:cs="Times"/>
        </w:rPr>
        <w:t>left to MT implementation</w:t>
      </w:r>
      <w:r>
        <w:rPr>
          <w:rStyle w:val="25"/>
        </w:rPr>
        <w:t>.</w:t>
      </w:r>
      <w:r>
        <w:rPr>
          <w:rStyle w:val="25"/>
        </w:rPr>
        <w:fldChar w:fldCharType="end"/>
      </w:r>
    </w:p>
    <w:p>
      <w:pPr>
        <w:pStyle w:val="16"/>
        <w:tabs>
          <w:tab w:val="right" w:pos="9660"/>
        </w:tabs>
        <w:spacing w:before="120" w:after="120"/>
        <w:rPr>
          <w:rFonts w:cs="Times"/>
          <w:bCs/>
          <w:iCs/>
          <w:color w:val="000000"/>
        </w:rPr>
      </w:pPr>
      <w:r>
        <w:fldChar w:fldCharType="end"/>
      </w:r>
    </w:p>
    <w:p>
      <w:pPr>
        <w:pStyle w:val="2"/>
        <w:spacing w:before="120" w:after="120"/>
        <w:ind w:left="0"/>
        <w:rPr>
          <w:rFonts w:eastAsia="宋体"/>
        </w:rPr>
      </w:pPr>
      <w:r>
        <w:rPr>
          <w:rFonts w:hint="eastAsia" w:eastAsia="宋体"/>
        </w:rPr>
        <w:t>Reference</w:t>
      </w:r>
      <w:r>
        <w:rPr>
          <w:rFonts w:eastAsia="宋体"/>
        </w:rPr>
        <w:t>s</w:t>
      </w:r>
    </w:p>
    <w:p>
      <w:pPr>
        <w:pStyle w:val="31"/>
        <w:spacing w:before="120" w:after="120"/>
        <w:ind w:left="0" w:firstLine="0"/>
        <w:rPr>
          <w:sz w:val="20"/>
          <w:szCs w:val="20"/>
        </w:rPr>
      </w:pPr>
      <w:bookmarkStart w:id="120" w:name="_Ref16505925"/>
      <w:bookmarkStart w:id="121" w:name="_Ref6480"/>
      <w:bookmarkStart w:id="122" w:name="_Ref17466"/>
      <w:r>
        <w:rPr>
          <w:rFonts w:hint="eastAsia"/>
          <w:bCs/>
          <w:sz w:val="20"/>
          <w:szCs w:val="20"/>
        </w:rPr>
        <w:t>Chairman's Notes RAN1#102-e final</w:t>
      </w:r>
    </w:p>
    <w:p>
      <w:pPr>
        <w:pStyle w:val="31"/>
        <w:spacing w:before="120" w:after="120"/>
        <w:ind w:left="0" w:firstLine="0"/>
      </w:pPr>
      <w:r>
        <w:rPr>
          <w:rFonts w:hint="eastAsia"/>
          <w:bCs/>
          <w:sz w:val="20"/>
          <w:szCs w:val="20"/>
        </w:rPr>
        <w:t>Chairman's Notes RAN1#103-e final</w:t>
      </w:r>
      <w:bookmarkEnd w:id="120"/>
      <w:bookmarkEnd w:id="121"/>
      <w:bookmarkEnd w:id="122"/>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334744"/>
    </w:sdtPr>
    <w:sdtContent>
      <w:p>
        <w:pPr>
          <w:pStyle w:val="14"/>
          <w:spacing w:before="120" w:after="120"/>
          <w:jc w:val="center"/>
        </w:pPr>
        <w:r>
          <w:fldChar w:fldCharType="begin"/>
        </w:r>
        <w:r>
          <w:instrText xml:space="preserve"> PAGE   \* MERGEFORMAT </w:instrText>
        </w:r>
        <w:r>
          <w:fldChar w:fldCharType="separate"/>
        </w:r>
        <w:r>
          <w:t>5</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4666EE"/>
    <w:multiLevelType w:val="singleLevel"/>
    <w:tmpl w:val="A14666EE"/>
    <w:lvl w:ilvl="0" w:tentative="0">
      <w:start w:val="1"/>
      <w:numFmt w:val="lowerRoman"/>
      <w:pStyle w:val="34"/>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29"/>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22137556"/>
    <w:multiLevelType w:val="multilevel"/>
    <w:tmpl w:val="2213755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1343BB7"/>
    <w:multiLevelType w:val="singleLevel"/>
    <w:tmpl w:val="31343BB7"/>
    <w:lvl w:ilvl="0" w:tentative="0">
      <w:start w:val="1"/>
      <w:numFmt w:val="decimal"/>
      <w:pStyle w:val="28"/>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72AA324"/>
    <w:multiLevelType w:val="multilevel"/>
    <w:tmpl w:val="372AA324"/>
    <w:lvl w:ilvl="0" w:tentative="0">
      <w:start w:val="1"/>
      <w:numFmt w:val="decimal"/>
      <w:pStyle w:val="27"/>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6">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7">
    <w:nsid w:val="43FCA2C8"/>
    <w:multiLevelType w:val="singleLevel"/>
    <w:tmpl w:val="43FCA2C8"/>
    <w:lvl w:ilvl="0" w:tentative="0">
      <w:start w:val="1"/>
      <w:numFmt w:val="lowerRoman"/>
      <w:pStyle w:val="36"/>
      <w:lvlText w:val="%1"/>
      <w:lvlJc w:val="left"/>
      <w:pPr>
        <w:tabs>
          <w:tab w:val="left" w:pos="807"/>
        </w:tabs>
        <w:ind w:left="420" w:firstLine="0"/>
      </w:pPr>
      <w:rPr>
        <w:rFonts w:hint="default" w:ascii="Times New Roman" w:hAnsi="Times New Roman" w:eastAsia="宋体" w:cs="Times New Roman"/>
        <w:i/>
        <w:iCs/>
      </w:rPr>
    </w:lvl>
  </w:abstractNum>
  <w:abstractNum w:abstractNumId="8">
    <w:nsid w:val="4C8F472B"/>
    <w:multiLevelType w:val="multilevel"/>
    <w:tmpl w:val="4C8F472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4124D6A"/>
    <w:multiLevelType w:val="multilevel"/>
    <w:tmpl w:val="64124D6A"/>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b/>
        <w:sz w:val="22"/>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0">
    <w:nsid w:val="77EB3E36"/>
    <w:multiLevelType w:val="multilevel"/>
    <w:tmpl w:val="77EB3E3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5"/>
  </w:num>
  <w:num w:numId="3">
    <w:abstractNumId w:val="4"/>
  </w:num>
  <w:num w:numId="4">
    <w:abstractNumId w:val="1"/>
  </w:num>
  <w:num w:numId="5">
    <w:abstractNumId w:val="6"/>
  </w:num>
  <w:num w:numId="6">
    <w:abstractNumId w:val="0"/>
  </w:num>
  <w:num w:numId="7">
    <w:abstractNumId w:val="7"/>
  </w:num>
  <w:num w:numId="8">
    <w:abstractNumId w:val="10"/>
  </w:num>
  <w:num w:numId="9">
    <w:abstractNumId w:val="3"/>
  </w:num>
  <w:num w:numId="10">
    <w:abstractNumId w:val="9"/>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354E2"/>
    <w:rsid w:val="0006075B"/>
    <w:rsid w:val="000731D9"/>
    <w:rsid w:val="00083DDB"/>
    <w:rsid w:val="000A2EE5"/>
    <w:rsid w:val="000C1902"/>
    <w:rsid w:val="000C23F8"/>
    <w:rsid w:val="000D05AA"/>
    <w:rsid w:val="000E7CD3"/>
    <w:rsid w:val="00166068"/>
    <w:rsid w:val="00167D1E"/>
    <w:rsid w:val="00172A27"/>
    <w:rsid w:val="00175FEC"/>
    <w:rsid w:val="00220CC6"/>
    <w:rsid w:val="0022267B"/>
    <w:rsid w:val="00281B0F"/>
    <w:rsid w:val="0029664F"/>
    <w:rsid w:val="002A0BF2"/>
    <w:rsid w:val="002C59CF"/>
    <w:rsid w:val="002E444A"/>
    <w:rsid w:val="002F3A23"/>
    <w:rsid w:val="0031325A"/>
    <w:rsid w:val="003241EE"/>
    <w:rsid w:val="00334292"/>
    <w:rsid w:val="00376C34"/>
    <w:rsid w:val="00384F99"/>
    <w:rsid w:val="00395697"/>
    <w:rsid w:val="003A1203"/>
    <w:rsid w:val="003E6CCE"/>
    <w:rsid w:val="0040257E"/>
    <w:rsid w:val="00404FF0"/>
    <w:rsid w:val="00405665"/>
    <w:rsid w:val="00433B93"/>
    <w:rsid w:val="00435878"/>
    <w:rsid w:val="00441CD9"/>
    <w:rsid w:val="004A5900"/>
    <w:rsid w:val="004C0DBD"/>
    <w:rsid w:val="004C4675"/>
    <w:rsid w:val="004F2D29"/>
    <w:rsid w:val="004F6201"/>
    <w:rsid w:val="0051732E"/>
    <w:rsid w:val="00526188"/>
    <w:rsid w:val="005265A6"/>
    <w:rsid w:val="00565559"/>
    <w:rsid w:val="005B065E"/>
    <w:rsid w:val="006369E0"/>
    <w:rsid w:val="0064354B"/>
    <w:rsid w:val="006522AC"/>
    <w:rsid w:val="006627DA"/>
    <w:rsid w:val="0066322D"/>
    <w:rsid w:val="006636C0"/>
    <w:rsid w:val="006757F1"/>
    <w:rsid w:val="006921E5"/>
    <w:rsid w:val="0069512F"/>
    <w:rsid w:val="00695650"/>
    <w:rsid w:val="00697EBB"/>
    <w:rsid w:val="006B4DFD"/>
    <w:rsid w:val="006C756C"/>
    <w:rsid w:val="0070284D"/>
    <w:rsid w:val="00713F21"/>
    <w:rsid w:val="00725A62"/>
    <w:rsid w:val="00726BCF"/>
    <w:rsid w:val="00733AB8"/>
    <w:rsid w:val="00740B89"/>
    <w:rsid w:val="00761B1D"/>
    <w:rsid w:val="0077184F"/>
    <w:rsid w:val="007761FD"/>
    <w:rsid w:val="007B39E8"/>
    <w:rsid w:val="007B51B3"/>
    <w:rsid w:val="007E5750"/>
    <w:rsid w:val="00823F23"/>
    <w:rsid w:val="00837885"/>
    <w:rsid w:val="00883484"/>
    <w:rsid w:val="008F6930"/>
    <w:rsid w:val="0090458B"/>
    <w:rsid w:val="00935B63"/>
    <w:rsid w:val="00936426"/>
    <w:rsid w:val="00955583"/>
    <w:rsid w:val="0096044C"/>
    <w:rsid w:val="009904A9"/>
    <w:rsid w:val="0099160A"/>
    <w:rsid w:val="00996F89"/>
    <w:rsid w:val="009C6D56"/>
    <w:rsid w:val="009E3245"/>
    <w:rsid w:val="009E7529"/>
    <w:rsid w:val="009F3678"/>
    <w:rsid w:val="009F7489"/>
    <w:rsid w:val="00A163E3"/>
    <w:rsid w:val="00A521CA"/>
    <w:rsid w:val="00AC03D1"/>
    <w:rsid w:val="00AD7DD2"/>
    <w:rsid w:val="00B04112"/>
    <w:rsid w:val="00B140E4"/>
    <w:rsid w:val="00B22688"/>
    <w:rsid w:val="00B27ADE"/>
    <w:rsid w:val="00B5700F"/>
    <w:rsid w:val="00B6123B"/>
    <w:rsid w:val="00B6403D"/>
    <w:rsid w:val="00B646BE"/>
    <w:rsid w:val="00B64D3A"/>
    <w:rsid w:val="00B675A2"/>
    <w:rsid w:val="00B75F9E"/>
    <w:rsid w:val="00B81A17"/>
    <w:rsid w:val="00B82A09"/>
    <w:rsid w:val="00B82BEF"/>
    <w:rsid w:val="00B9727F"/>
    <w:rsid w:val="00BB18E5"/>
    <w:rsid w:val="00BB423E"/>
    <w:rsid w:val="00BE204A"/>
    <w:rsid w:val="00C06B18"/>
    <w:rsid w:val="00C229E2"/>
    <w:rsid w:val="00C5250B"/>
    <w:rsid w:val="00C551A0"/>
    <w:rsid w:val="00C67E62"/>
    <w:rsid w:val="00C97A84"/>
    <w:rsid w:val="00CA2622"/>
    <w:rsid w:val="00CA43AD"/>
    <w:rsid w:val="00CB2546"/>
    <w:rsid w:val="00CB3383"/>
    <w:rsid w:val="00CD3BAB"/>
    <w:rsid w:val="00CE007D"/>
    <w:rsid w:val="00CF5CB2"/>
    <w:rsid w:val="00CF7BB0"/>
    <w:rsid w:val="00D44026"/>
    <w:rsid w:val="00D64D14"/>
    <w:rsid w:val="00D659E8"/>
    <w:rsid w:val="00D83922"/>
    <w:rsid w:val="00DC658B"/>
    <w:rsid w:val="00DD1281"/>
    <w:rsid w:val="00DD4D05"/>
    <w:rsid w:val="00DE1BC7"/>
    <w:rsid w:val="00DE3ABE"/>
    <w:rsid w:val="00DE6A76"/>
    <w:rsid w:val="00E22262"/>
    <w:rsid w:val="00E34B89"/>
    <w:rsid w:val="00E36661"/>
    <w:rsid w:val="00E7658A"/>
    <w:rsid w:val="00E865D3"/>
    <w:rsid w:val="00E8734D"/>
    <w:rsid w:val="00EC0971"/>
    <w:rsid w:val="00EC171F"/>
    <w:rsid w:val="00EC3177"/>
    <w:rsid w:val="00EE1459"/>
    <w:rsid w:val="00EE508E"/>
    <w:rsid w:val="00EF52B5"/>
    <w:rsid w:val="00F063F3"/>
    <w:rsid w:val="00F15363"/>
    <w:rsid w:val="00F24E71"/>
    <w:rsid w:val="00F447C8"/>
    <w:rsid w:val="00F461EF"/>
    <w:rsid w:val="00F823B1"/>
    <w:rsid w:val="00F978F9"/>
    <w:rsid w:val="00FA0A08"/>
    <w:rsid w:val="00FA7AB4"/>
    <w:rsid w:val="00FB3F4B"/>
    <w:rsid w:val="00FC03CC"/>
    <w:rsid w:val="00FC5E14"/>
    <w:rsid w:val="00FD2DE4"/>
    <w:rsid w:val="00FE4F57"/>
    <w:rsid w:val="01167A89"/>
    <w:rsid w:val="014404CF"/>
    <w:rsid w:val="015702F1"/>
    <w:rsid w:val="015B20BD"/>
    <w:rsid w:val="01764F01"/>
    <w:rsid w:val="02212D7E"/>
    <w:rsid w:val="024D6B6A"/>
    <w:rsid w:val="02553352"/>
    <w:rsid w:val="029B04E7"/>
    <w:rsid w:val="02AD7079"/>
    <w:rsid w:val="02C202A0"/>
    <w:rsid w:val="03073BDC"/>
    <w:rsid w:val="033451DB"/>
    <w:rsid w:val="033F44DC"/>
    <w:rsid w:val="03465C1F"/>
    <w:rsid w:val="036B3CA6"/>
    <w:rsid w:val="03853D24"/>
    <w:rsid w:val="039F284D"/>
    <w:rsid w:val="03DB0701"/>
    <w:rsid w:val="03FA05E4"/>
    <w:rsid w:val="041D69DB"/>
    <w:rsid w:val="0438784A"/>
    <w:rsid w:val="04711194"/>
    <w:rsid w:val="04787413"/>
    <w:rsid w:val="04824ADC"/>
    <w:rsid w:val="048A693F"/>
    <w:rsid w:val="049820AC"/>
    <w:rsid w:val="04B977FE"/>
    <w:rsid w:val="04C27429"/>
    <w:rsid w:val="04F43DBC"/>
    <w:rsid w:val="051D2186"/>
    <w:rsid w:val="0555228E"/>
    <w:rsid w:val="055822D8"/>
    <w:rsid w:val="059D1E39"/>
    <w:rsid w:val="05E078B3"/>
    <w:rsid w:val="061A6A42"/>
    <w:rsid w:val="061E3658"/>
    <w:rsid w:val="065D038F"/>
    <w:rsid w:val="06684262"/>
    <w:rsid w:val="067342DE"/>
    <w:rsid w:val="069635DB"/>
    <w:rsid w:val="06B2024B"/>
    <w:rsid w:val="06B94F09"/>
    <w:rsid w:val="06DF203C"/>
    <w:rsid w:val="06EA48EC"/>
    <w:rsid w:val="070061BC"/>
    <w:rsid w:val="07194833"/>
    <w:rsid w:val="07421FE8"/>
    <w:rsid w:val="07637E02"/>
    <w:rsid w:val="076A7F7D"/>
    <w:rsid w:val="077D0583"/>
    <w:rsid w:val="079724D0"/>
    <w:rsid w:val="082A352F"/>
    <w:rsid w:val="08C02A08"/>
    <w:rsid w:val="08C349D1"/>
    <w:rsid w:val="08DD3637"/>
    <w:rsid w:val="08F04726"/>
    <w:rsid w:val="0965483E"/>
    <w:rsid w:val="0976492C"/>
    <w:rsid w:val="09961B0B"/>
    <w:rsid w:val="09997194"/>
    <w:rsid w:val="09AF099C"/>
    <w:rsid w:val="09F67CD5"/>
    <w:rsid w:val="0A314C21"/>
    <w:rsid w:val="0A8B18E1"/>
    <w:rsid w:val="0ACF283D"/>
    <w:rsid w:val="0ACF5168"/>
    <w:rsid w:val="0AE23704"/>
    <w:rsid w:val="0B25121C"/>
    <w:rsid w:val="0B616C98"/>
    <w:rsid w:val="0B8E19CD"/>
    <w:rsid w:val="0B9E71DF"/>
    <w:rsid w:val="0BBA4E15"/>
    <w:rsid w:val="0BE57191"/>
    <w:rsid w:val="0C6450EC"/>
    <w:rsid w:val="0C89227F"/>
    <w:rsid w:val="0C9D30C2"/>
    <w:rsid w:val="0CE432A0"/>
    <w:rsid w:val="0CEC3335"/>
    <w:rsid w:val="0D1220E5"/>
    <w:rsid w:val="0D772C9C"/>
    <w:rsid w:val="0D91205B"/>
    <w:rsid w:val="0DFA55ED"/>
    <w:rsid w:val="0E0B3698"/>
    <w:rsid w:val="0E171354"/>
    <w:rsid w:val="0E172BD0"/>
    <w:rsid w:val="0E2E3A68"/>
    <w:rsid w:val="0E6122BF"/>
    <w:rsid w:val="0E8F5401"/>
    <w:rsid w:val="0EFF5C2D"/>
    <w:rsid w:val="0F143BD2"/>
    <w:rsid w:val="0F1B6F0A"/>
    <w:rsid w:val="0F5B70B3"/>
    <w:rsid w:val="0FD74648"/>
    <w:rsid w:val="0FFD3646"/>
    <w:rsid w:val="100D1BF3"/>
    <w:rsid w:val="101173BB"/>
    <w:rsid w:val="101D4DE6"/>
    <w:rsid w:val="108746DE"/>
    <w:rsid w:val="109F3465"/>
    <w:rsid w:val="10A50104"/>
    <w:rsid w:val="10AD1CC0"/>
    <w:rsid w:val="10DA1818"/>
    <w:rsid w:val="10E348C8"/>
    <w:rsid w:val="111C561E"/>
    <w:rsid w:val="114B0B48"/>
    <w:rsid w:val="119778DE"/>
    <w:rsid w:val="119D7849"/>
    <w:rsid w:val="11B87794"/>
    <w:rsid w:val="120103B9"/>
    <w:rsid w:val="1242135C"/>
    <w:rsid w:val="125B6C47"/>
    <w:rsid w:val="12775CDF"/>
    <w:rsid w:val="12B73F6B"/>
    <w:rsid w:val="12F334CF"/>
    <w:rsid w:val="130E7E01"/>
    <w:rsid w:val="136B5A39"/>
    <w:rsid w:val="13A1683F"/>
    <w:rsid w:val="13A76A52"/>
    <w:rsid w:val="13D6227C"/>
    <w:rsid w:val="13DB3C06"/>
    <w:rsid w:val="147418D7"/>
    <w:rsid w:val="148C3A7E"/>
    <w:rsid w:val="14A43302"/>
    <w:rsid w:val="14C14A1F"/>
    <w:rsid w:val="14C853CE"/>
    <w:rsid w:val="14CC0A51"/>
    <w:rsid w:val="14DA3DA1"/>
    <w:rsid w:val="14EE1EBB"/>
    <w:rsid w:val="14F66467"/>
    <w:rsid w:val="150D1100"/>
    <w:rsid w:val="151B2D20"/>
    <w:rsid w:val="158B08C6"/>
    <w:rsid w:val="15AD415D"/>
    <w:rsid w:val="15CC53EE"/>
    <w:rsid w:val="15E36905"/>
    <w:rsid w:val="15F1581D"/>
    <w:rsid w:val="16513AEF"/>
    <w:rsid w:val="166F1824"/>
    <w:rsid w:val="169F6619"/>
    <w:rsid w:val="17155857"/>
    <w:rsid w:val="17674FC6"/>
    <w:rsid w:val="17950508"/>
    <w:rsid w:val="17CC176B"/>
    <w:rsid w:val="181865FE"/>
    <w:rsid w:val="186A13AB"/>
    <w:rsid w:val="1894213E"/>
    <w:rsid w:val="189D47FD"/>
    <w:rsid w:val="18B230E0"/>
    <w:rsid w:val="18B66FB8"/>
    <w:rsid w:val="18FC2F51"/>
    <w:rsid w:val="19010C43"/>
    <w:rsid w:val="19084C73"/>
    <w:rsid w:val="19200C2D"/>
    <w:rsid w:val="1A054259"/>
    <w:rsid w:val="1A0D7F96"/>
    <w:rsid w:val="1A2E0961"/>
    <w:rsid w:val="1A465517"/>
    <w:rsid w:val="1AED7764"/>
    <w:rsid w:val="1B1337D4"/>
    <w:rsid w:val="1B3C1E7E"/>
    <w:rsid w:val="1B7F6005"/>
    <w:rsid w:val="1B804965"/>
    <w:rsid w:val="1BCE1DFD"/>
    <w:rsid w:val="1BDA119C"/>
    <w:rsid w:val="1C132CB9"/>
    <w:rsid w:val="1C9E1905"/>
    <w:rsid w:val="1CAB67AC"/>
    <w:rsid w:val="1CC27823"/>
    <w:rsid w:val="1CC55E56"/>
    <w:rsid w:val="1CCC26CA"/>
    <w:rsid w:val="1D731830"/>
    <w:rsid w:val="1D736D6E"/>
    <w:rsid w:val="1DA15259"/>
    <w:rsid w:val="1DA2248D"/>
    <w:rsid w:val="1DED6FF3"/>
    <w:rsid w:val="1DEF202A"/>
    <w:rsid w:val="1E155F21"/>
    <w:rsid w:val="1E213CAA"/>
    <w:rsid w:val="1E545DBD"/>
    <w:rsid w:val="1E664B2D"/>
    <w:rsid w:val="1E9D6342"/>
    <w:rsid w:val="1F150373"/>
    <w:rsid w:val="1F440BFE"/>
    <w:rsid w:val="1F723122"/>
    <w:rsid w:val="1F7479F8"/>
    <w:rsid w:val="1FE11599"/>
    <w:rsid w:val="1FF51A13"/>
    <w:rsid w:val="202A4795"/>
    <w:rsid w:val="20495BD8"/>
    <w:rsid w:val="204E6676"/>
    <w:rsid w:val="206E2004"/>
    <w:rsid w:val="20712797"/>
    <w:rsid w:val="20CB6FE0"/>
    <w:rsid w:val="20E97E27"/>
    <w:rsid w:val="211941B9"/>
    <w:rsid w:val="211A0695"/>
    <w:rsid w:val="211B1392"/>
    <w:rsid w:val="214833CD"/>
    <w:rsid w:val="216406C3"/>
    <w:rsid w:val="2195668B"/>
    <w:rsid w:val="21BE5AD4"/>
    <w:rsid w:val="21C2279E"/>
    <w:rsid w:val="21C90F74"/>
    <w:rsid w:val="21EC1042"/>
    <w:rsid w:val="228E502C"/>
    <w:rsid w:val="23082245"/>
    <w:rsid w:val="23523D5B"/>
    <w:rsid w:val="236847C5"/>
    <w:rsid w:val="23733000"/>
    <w:rsid w:val="237E4558"/>
    <w:rsid w:val="23A30984"/>
    <w:rsid w:val="23B71DF0"/>
    <w:rsid w:val="23CC7904"/>
    <w:rsid w:val="23DA1E98"/>
    <w:rsid w:val="240C71C8"/>
    <w:rsid w:val="245C52F8"/>
    <w:rsid w:val="2463385E"/>
    <w:rsid w:val="24944B36"/>
    <w:rsid w:val="24D77AFB"/>
    <w:rsid w:val="24E702E9"/>
    <w:rsid w:val="24F4325B"/>
    <w:rsid w:val="24FE25BF"/>
    <w:rsid w:val="2508650D"/>
    <w:rsid w:val="25134332"/>
    <w:rsid w:val="253D6D3A"/>
    <w:rsid w:val="255118C9"/>
    <w:rsid w:val="25722255"/>
    <w:rsid w:val="257E508F"/>
    <w:rsid w:val="25A41814"/>
    <w:rsid w:val="25C00748"/>
    <w:rsid w:val="25E845D3"/>
    <w:rsid w:val="26421C49"/>
    <w:rsid w:val="2653091D"/>
    <w:rsid w:val="2698089E"/>
    <w:rsid w:val="26A168EB"/>
    <w:rsid w:val="26AA670E"/>
    <w:rsid w:val="274C01EB"/>
    <w:rsid w:val="27AB7429"/>
    <w:rsid w:val="27F85BF5"/>
    <w:rsid w:val="28006673"/>
    <w:rsid w:val="28311F29"/>
    <w:rsid w:val="285C053E"/>
    <w:rsid w:val="28663D87"/>
    <w:rsid w:val="28911DA4"/>
    <w:rsid w:val="28C50C50"/>
    <w:rsid w:val="29741FCB"/>
    <w:rsid w:val="29FA7F26"/>
    <w:rsid w:val="2A115137"/>
    <w:rsid w:val="2A4E36C4"/>
    <w:rsid w:val="2A700E2D"/>
    <w:rsid w:val="2A8238B0"/>
    <w:rsid w:val="2A834EF2"/>
    <w:rsid w:val="2A9E3A9C"/>
    <w:rsid w:val="2B5D3F6B"/>
    <w:rsid w:val="2B5E3436"/>
    <w:rsid w:val="2B76388B"/>
    <w:rsid w:val="2B774832"/>
    <w:rsid w:val="2BA97DE5"/>
    <w:rsid w:val="2BAA3A2F"/>
    <w:rsid w:val="2BAF5B74"/>
    <w:rsid w:val="2CB47BAD"/>
    <w:rsid w:val="2CC16BCB"/>
    <w:rsid w:val="2D251DB1"/>
    <w:rsid w:val="2D5B4DC4"/>
    <w:rsid w:val="2D6A12F9"/>
    <w:rsid w:val="2D8838AD"/>
    <w:rsid w:val="2DC56BFE"/>
    <w:rsid w:val="2DEB0B4E"/>
    <w:rsid w:val="2DFE122C"/>
    <w:rsid w:val="2E7100FC"/>
    <w:rsid w:val="2E9F0C6A"/>
    <w:rsid w:val="2EED66B0"/>
    <w:rsid w:val="2EF11654"/>
    <w:rsid w:val="2F1251F2"/>
    <w:rsid w:val="2F226943"/>
    <w:rsid w:val="2F3D7519"/>
    <w:rsid w:val="2F48200A"/>
    <w:rsid w:val="30064A38"/>
    <w:rsid w:val="300A73E1"/>
    <w:rsid w:val="306169EA"/>
    <w:rsid w:val="30962F3E"/>
    <w:rsid w:val="30B466C4"/>
    <w:rsid w:val="30D17E68"/>
    <w:rsid w:val="30E91386"/>
    <w:rsid w:val="30FF2795"/>
    <w:rsid w:val="31136AEE"/>
    <w:rsid w:val="31450C06"/>
    <w:rsid w:val="3150693A"/>
    <w:rsid w:val="315660F9"/>
    <w:rsid w:val="319506B4"/>
    <w:rsid w:val="31CE35AD"/>
    <w:rsid w:val="31CE3783"/>
    <w:rsid w:val="31EF29F9"/>
    <w:rsid w:val="322F39C7"/>
    <w:rsid w:val="324F5D1C"/>
    <w:rsid w:val="32604016"/>
    <w:rsid w:val="32797DA2"/>
    <w:rsid w:val="328C47B2"/>
    <w:rsid w:val="329A6ACE"/>
    <w:rsid w:val="32C96B57"/>
    <w:rsid w:val="3306388C"/>
    <w:rsid w:val="3324726E"/>
    <w:rsid w:val="335B6F56"/>
    <w:rsid w:val="33BD3D7F"/>
    <w:rsid w:val="33D9437A"/>
    <w:rsid w:val="34154AEE"/>
    <w:rsid w:val="3432561D"/>
    <w:rsid w:val="34A3771F"/>
    <w:rsid w:val="34AF1772"/>
    <w:rsid w:val="34CE3671"/>
    <w:rsid w:val="35141A17"/>
    <w:rsid w:val="35684571"/>
    <w:rsid w:val="35A6288A"/>
    <w:rsid w:val="35E341B6"/>
    <w:rsid w:val="35E42057"/>
    <w:rsid w:val="35E528C4"/>
    <w:rsid w:val="360B1D73"/>
    <w:rsid w:val="361F3323"/>
    <w:rsid w:val="362B1155"/>
    <w:rsid w:val="364112DA"/>
    <w:rsid w:val="36C5320A"/>
    <w:rsid w:val="36E93760"/>
    <w:rsid w:val="36FD4529"/>
    <w:rsid w:val="37060192"/>
    <w:rsid w:val="3784394E"/>
    <w:rsid w:val="380D1D0F"/>
    <w:rsid w:val="3823721F"/>
    <w:rsid w:val="38AE3BB0"/>
    <w:rsid w:val="390B0E9D"/>
    <w:rsid w:val="392D11BE"/>
    <w:rsid w:val="39A43F87"/>
    <w:rsid w:val="39D56F32"/>
    <w:rsid w:val="39F84BA4"/>
    <w:rsid w:val="39FB23D4"/>
    <w:rsid w:val="3A7A4510"/>
    <w:rsid w:val="3A9F4EA0"/>
    <w:rsid w:val="3ACB5746"/>
    <w:rsid w:val="3ADB3F57"/>
    <w:rsid w:val="3B4345A5"/>
    <w:rsid w:val="3B4E3C4C"/>
    <w:rsid w:val="3B713396"/>
    <w:rsid w:val="3BB20883"/>
    <w:rsid w:val="3BB30E3E"/>
    <w:rsid w:val="3BC21207"/>
    <w:rsid w:val="3BE22473"/>
    <w:rsid w:val="3BE407A4"/>
    <w:rsid w:val="3C142E37"/>
    <w:rsid w:val="3C2A506F"/>
    <w:rsid w:val="3C3D7506"/>
    <w:rsid w:val="3C5263CC"/>
    <w:rsid w:val="3C543E70"/>
    <w:rsid w:val="3C5A4EA4"/>
    <w:rsid w:val="3C736E72"/>
    <w:rsid w:val="3CAF3C37"/>
    <w:rsid w:val="3D0A233F"/>
    <w:rsid w:val="3D1E4653"/>
    <w:rsid w:val="3D361441"/>
    <w:rsid w:val="3DDE19B0"/>
    <w:rsid w:val="3E2A3166"/>
    <w:rsid w:val="3E3B5572"/>
    <w:rsid w:val="3E441C7D"/>
    <w:rsid w:val="3E6B774C"/>
    <w:rsid w:val="3E701975"/>
    <w:rsid w:val="3EBA19A4"/>
    <w:rsid w:val="3EDA04D5"/>
    <w:rsid w:val="3F5E11B9"/>
    <w:rsid w:val="3F66426C"/>
    <w:rsid w:val="3FBB6DA8"/>
    <w:rsid w:val="3FC956FF"/>
    <w:rsid w:val="3FEF0F46"/>
    <w:rsid w:val="3FFA7677"/>
    <w:rsid w:val="3FFB0539"/>
    <w:rsid w:val="40205795"/>
    <w:rsid w:val="405E097D"/>
    <w:rsid w:val="40A36A71"/>
    <w:rsid w:val="40C650FF"/>
    <w:rsid w:val="40CF105F"/>
    <w:rsid w:val="4116656E"/>
    <w:rsid w:val="41412411"/>
    <w:rsid w:val="4177661A"/>
    <w:rsid w:val="41C82FD7"/>
    <w:rsid w:val="41D3631F"/>
    <w:rsid w:val="41F466FD"/>
    <w:rsid w:val="42063A2E"/>
    <w:rsid w:val="42115E2E"/>
    <w:rsid w:val="421C3945"/>
    <w:rsid w:val="42280722"/>
    <w:rsid w:val="424971C2"/>
    <w:rsid w:val="426B41A0"/>
    <w:rsid w:val="42812B39"/>
    <w:rsid w:val="429177A8"/>
    <w:rsid w:val="42A67A24"/>
    <w:rsid w:val="42B31897"/>
    <w:rsid w:val="42D17B6A"/>
    <w:rsid w:val="42D846B9"/>
    <w:rsid w:val="42DC0124"/>
    <w:rsid w:val="42EA7744"/>
    <w:rsid w:val="42F4675D"/>
    <w:rsid w:val="43694E57"/>
    <w:rsid w:val="438E2DA7"/>
    <w:rsid w:val="43DF2400"/>
    <w:rsid w:val="440D5045"/>
    <w:rsid w:val="44281E42"/>
    <w:rsid w:val="4448179D"/>
    <w:rsid w:val="450377D3"/>
    <w:rsid w:val="451F6FA3"/>
    <w:rsid w:val="45625E40"/>
    <w:rsid w:val="45825D50"/>
    <w:rsid w:val="45863103"/>
    <w:rsid w:val="459E4FC8"/>
    <w:rsid w:val="45B55022"/>
    <w:rsid w:val="45BE6191"/>
    <w:rsid w:val="45DD4FD0"/>
    <w:rsid w:val="460C5979"/>
    <w:rsid w:val="467E7709"/>
    <w:rsid w:val="46B01989"/>
    <w:rsid w:val="476077FF"/>
    <w:rsid w:val="47701E40"/>
    <w:rsid w:val="47A009AB"/>
    <w:rsid w:val="47BF1887"/>
    <w:rsid w:val="47C01792"/>
    <w:rsid w:val="480304B2"/>
    <w:rsid w:val="4808150F"/>
    <w:rsid w:val="483069DE"/>
    <w:rsid w:val="485E0F99"/>
    <w:rsid w:val="489C5D93"/>
    <w:rsid w:val="48A73429"/>
    <w:rsid w:val="48DA0F1B"/>
    <w:rsid w:val="498A04F2"/>
    <w:rsid w:val="499F19D0"/>
    <w:rsid w:val="49E9233D"/>
    <w:rsid w:val="4A0B4E23"/>
    <w:rsid w:val="4A1C6083"/>
    <w:rsid w:val="4A292E2A"/>
    <w:rsid w:val="4A3B68B3"/>
    <w:rsid w:val="4A8E3646"/>
    <w:rsid w:val="4AAD1944"/>
    <w:rsid w:val="4AB04721"/>
    <w:rsid w:val="4AB61820"/>
    <w:rsid w:val="4AC31003"/>
    <w:rsid w:val="4AC62B5E"/>
    <w:rsid w:val="4AE93159"/>
    <w:rsid w:val="4AED60FD"/>
    <w:rsid w:val="4AFE671F"/>
    <w:rsid w:val="4B234E40"/>
    <w:rsid w:val="4B347081"/>
    <w:rsid w:val="4B493729"/>
    <w:rsid w:val="4B517775"/>
    <w:rsid w:val="4BD0339A"/>
    <w:rsid w:val="4C0731C2"/>
    <w:rsid w:val="4C394968"/>
    <w:rsid w:val="4C4F59EF"/>
    <w:rsid w:val="4CBB7AFF"/>
    <w:rsid w:val="4CC32450"/>
    <w:rsid w:val="4CCB7E22"/>
    <w:rsid w:val="4D1B5E55"/>
    <w:rsid w:val="4D2269B7"/>
    <w:rsid w:val="4D2624F7"/>
    <w:rsid w:val="4D462159"/>
    <w:rsid w:val="4D5C5FAC"/>
    <w:rsid w:val="4D903CAF"/>
    <w:rsid w:val="4D9513F6"/>
    <w:rsid w:val="4DA03BF2"/>
    <w:rsid w:val="4DBF6042"/>
    <w:rsid w:val="4DC605B6"/>
    <w:rsid w:val="4DD636F4"/>
    <w:rsid w:val="4DEC0985"/>
    <w:rsid w:val="4E1C6436"/>
    <w:rsid w:val="4E24465F"/>
    <w:rsid w:val="4E27683A"/>
    <w:rsid w:val="4E334753"/>
    <w:rsid w:val="4E354B62"/>
    <w:rsid w:val="4E362D17"/>
    <w:rsid w:val="4E4955E8"/>
    <w:rsid w:val="4ECC56BB"/>
    <w:rsid w:val="4F2765B1"/>
    <w:rsid w:val="4F285975"/>
    <w:rsid w:val="4F34639F"/>
    <w:rsid w:val="4FFD30B0"/>
    <w:rsid w:val="50187D28"/>
    <w:rsid w:val="5052250D"/>
    <w:rsid w:val="506901EE"/>
    <w:rsid w:val="50961E20"/>
    <w:rsid w:val="50AB610F"/>
    <w:rsid w:val="513A477C"/>
    <w:rsid w:val="51867298"/>
    <w:rsid w:val="52025DEC"/>
    <w:rsid w:val="52195EDF"/>
    <w:rsid w:val="521A6AF9"/>
    <w:rsid w:val="522F787C"/>
    <w:rsid w:val="52313387"/>
    <w:rsid w:val="52B30520"/>
    <w:rsid w:val="52CC6134"/>
    <w:rsid w:val="52DC42BA"/>
    <w:rsid w:val="52E04D27"/>
    <w:rsid w:val="535E5E95"/>
    <w:rsid w:val="53734AFF"/>
    <w:rsid w:val="539A390F"/>
    <w:rsid w:val="53DB3477"/>
    <w:rsid w:val="53EF4810"/>
    <w:rsid w:val="54761BC2"/>
    <w:rsid w:val="54983F44"/>
    <w:rsid w:val="54A3122C"/>
    <w:rsid w:val="54AF6B42"/>
    <w:rsid w:val="54BB3E92"/>
    <w:rsid w:val="54FD3190"/>
    <w:rsid w:val="550D5818"/>
    <w:rsid w:val="55913979"/>
    <w:rsid w:val="55A37985"/>
    <w:rsid w:val="55BA37EE"/>
    <w:rsid w:val="55DD6F2A"/>
    <w:rsid w:val="564F1ABE"/>
    <w:rsid w:val="568C0E5A"/>
    <w:rsid w:val="568F2FC7"/>
    <w:rsid w:val="56C6338F"/>
    <w:rsid w:val="56E23970"/>
    <w:rsid w:val="56E86B2B"/>
    <w:rsid w:val="571C3CCD"/>
    <w:rsid w:val="57596EF3"/>
    <w:rsid w:val="578F220A"/>
    <w:rsid w:val="57F5774F"/>
    <w:rsid w:val="57FC07D9"/>
    <w:rsid w:val="58500F22"/>
    <w:rsid w:val="5875427E"/>
    <w:rsid w:val="588E0520"/>
    <w:rsid w:val="589A1710"/>
    <w:rsid w:val="59014A93"/>
    <w:rsid w:val="591C0009"/>
    <w:rsid w:val="593B1033"/>
    <w:rsid w:val="59724FAA"/>
    <w:rsid w:val="59752101"/>
    <w:rsid w:val="59EA441A"/>
    <w:rsid w:val="5A004298"/>
    <w:rsid w:val="5A0D7942"/>
    <w:rsid w:val="5A342F49"/>
    <w:rsid w:val="5A374932"/>
    <w:rsid w:val="5A8B6AF9"/>
    <w:rsid w:val="5A9E1971"/>
    <w:rsid w:val="5AAE27F7"/>
    <w:rsid w:val="5AC32943"/>
    <w:rsid w:val="5ACF0F3A"/>
    <w:rsid w:val="5B295AFC"/>
    <w:rsid w:val="5B910D3F"/>
    <w:rsid w:val="5BC82514"/>
    <w:rsid w:val="5C3E4F80"/>
    <w:rsid w:val="5C6B1600"/>
    <w:rsid w:val="5C921AD0"/>
    <w:rsid w:val="5C9B41C3"/>
    <w:rsid w:val="5CAA4998"/>
    <w:rsid w:val="5D0F4006"/>
    <w:rsid w:val="5D48096D"/>
    <w:rsid w:val="5D8836E1"/>
    <w:rsid w:val="5DA665F1"/>
    <w:rsid w:val="5DE923EB"/>
    <w:rsid w:val="5DFD51DB"/>
    <w:rsid w:val="5E0D36E5"/>
    <w:rsid w:val="5E107E6E"/>
    <w:rsid w:val="5E5075E3"/>
    <w:rsid w:val="5EE94C0E"/>
    <w:rsid w:val="5F5900F1"/>
    <w:rsid w:val="5F8E64F1"/>
    <w:rsid w:val="5FB25365"/>
    <w:rsid w:val="5FC6703C"/>
    <w:rsid w:val="60133B25"/>
    <w:rsid w:val="601F6FA4"/>
    <w:rsid w:val="602444C8"/>
    <w:rsid w:val="60394308"/>
    <w:rsid w:val="607C3753"/>
    <w:rsid w:val="60931392"/>
    <w:rsid w:val="60C30855"/>
    <w:rsid w:val="60DF7910"/>
    <w:rsid w:val="60E80746"/>
    <w:rsid w:val="60F75813"/>
    <w:rsid w:val="612F7F06"/>
    <w:rsid w:val="61421EFD"/>
    <w:rsid w:val="61493601"/>
    <w:rsid w:val="615C5041"/>
    <w:rsid w:val="615F0947"/>
    <w:rsid w:val="61D85F42"/>
    <w:rsid w:val="62562807"/>
    <w:rsid w:val="626A0EBF"/>
    <w:rsid w:val="629773D1"/>
    <w:rsid w:val="629C627B"/>
    <w:rsid w:val="62A15E53"/>
    <w:rsid w:val="62B00965"/>
    <w:rsid w:val="62CD03E1"/>
    <w:rsid w:val="62DC23EB"/>
    <w:rsid w:val="62E15DBA"/>
    <w:rsid w:val="63182FFE"/>
    <w:rsid w:val="63371037"/>
    <w:rsid w:val="634C4518"/>
    <w:rsid w:val="63983EC4"/>
    <w:rsid w:val="639854D4"/>
    <w:rsid w:val="63A46822"/>
    <w:rsid w:val="63BD39CD"/>
    <w:rsid w:val="63C04533"/>
    <w:rsid w:val="63C5603D"/>
    <w:rsid w:val="63D72C60"/>
    <w:rsid w:val="64AF7DF0"/>
    <w:rsid w:val="64E72AC4"/>
    <w:rsid w:val="650A0EA3"/>
    <w:rsid w:val="65245052"/>
    <w:rsid w:val="65564EE8"/>
    <w:rsid w:val="6576688A"/>
    <w:rsid w:val="65C43BE9"/>
    <w:rsid w:val="65D735F4"/>
    <w:rsid w:val="65DD063F"/>
    <w:rsid w:val="6622558B"/>
    <w:rsid w:val="66312713"/>
    <w:rsid w:val="66393CAB"/>
    <w:rsid w:val="664805B8"/>
    <w:rsid w:val="665A2A0A"/>
    <w:rsid w:val="668E544C"/>
    <w:rsid w:val="669A3AC9"/>
    <w:rsid w:val="67E017FE"/>
    <w:rsid w:val="67F31D3A"/>
    <w:rsid w:val="68045D1D"/>
    <w:rsid w:val="681B1F4D"/>
    <w:rsid w:val="68451BCA"/>
    <w:rsid w:val="684652BD"/>
    <w:rsid w:val="68C96DCD"/>
    <w:rsid w:val="68DE5612"/>
    <w:rsid w:val="690F418B"/>
    <w:rsid w:val="69415C00"/>
    <w:rsid w:val="695606A3"/>
    <w:rsid w:val="69767754"/>
    <w:rsid w:val="698F2FDF"/>
    <w:rsid w:val="69A57B3E"/>
    <w:rsid w:val="69A83454"/>
    <w:rsid w:val="69DC279E"/>
    <w:rsid w:val="69EE3E34"/>
    <w:rsid w:val="6A25071A"/>
    <w:rsid w:val="6A363544"/>
    <w:rsid w:val="6A7A2736"/>
    <w:rsid w:val="6A7B4B9C"/>
    <w:rsid w:val="6A8D7999"/>
    <w:rsid w:val="6AC11D22"/>
    <w:rsid w:val="6B051E88"/>
    <w:rsid w:val="6B9E1D81"/>
    <w:rsid w:val="6BA651DA"/>
    <w:rsid w:val="6BF17AD4"/>
    <w:rsid w:val="6C2F36D3"/>
    <w:rsid w:val="6C7D1E1B"/>
    <w:rsid w:val="6C89456C"/>
    <w:rsid w:val="6C970A7F"/>
    <w:rsid w:val="6CCF7258"/>
    <w:rsid w:val="6DA611C9"/>
    <w:rsid w:val="6DDC6B6F"/>
    <w:rsid w:val="6E0A1043"/>
    <w:rsid w:val="6E0E2009"/>
    <w:rsid w:val="6E483F97"/>
    <w:rsid w:val="6E6B09BB"/>
    <w:rsid w:val="6E9B6042"/>
    <w:rsid w:val="6EA03D2B"/>
    <w:rsid w:val="6EA8395D"/>
    <w:rsid w:val="6F05530A"/>
    <w:rsid w:val="6F447A5A"/>
    <w:rsid w:val="6F8161FC"/>
    <w:rsid w:val="6FA51A5F"/>
    <w:rsid w:val="6FA629D4"/>
    <w:rsid w:val="706145B1"/>
    <w:rsid w:val="707964EB"/>
    <w:rsid w:val="7087334C"/>
    <w:rsid w:val="70BB2EF0"/>
    <w:rsid w:val="70D10182"/>
    <w:rsid w:val="70D42489"/>
    <w:rsid w:val="70D46AC8"/>
    <w:rsid w:val="70EB0923"/>
    <w:rsid w:val="7111577A"/>
    <w:rsid w:val="713B41ED"/>
    <w:rsid w:val="71597A3B"/>
    <w:rsid w:val="7176163B"/>
    <w:rsid w:val="71EC6A6E"/>
    <w:rsid w:val="71F60B93"/>
    <w:rsid w:val="7275543D"/>
    <w:rsid w:val="72A71F44"/>
    <w:rsid w:val="72D038BA"/>
    <w:rsid w:val="72E50C43"/>
    <w:rsid w:val="72F55F04"/>
    <w:rsid w:val="731703A9"/>
    <w:rsid w:val="73D425F7"/>
    <w:rsid w:val="747808C4"/>
    <w:rsid w:val="74822137"/>
    <w:rsid w:val="74FA10A7"/>
    <w:rsid w:val="75001BE0"/>
    <w:rsid w:val="750A2023"/>
    <w:rsid w:val="7511431D"/>
    <w:rsid w:val="7526648A"/>
    <w:rsid w:val="757D508B"/>
    <w:rsid w:val="75CB078A"/>
    <w:rsid w:val="75D00C83"/>
    <w:rsid w:val="75F644AF"/>
    <w:rsid w:val="75F96786"/>
    <w:rsid w:val="763C1508"/>
    <w:rsid w:val="766A1EAC"/>
    <w:rsid w:val="7676736A"/>
    <w:rsid w:val="76933951"/>
    <w:rsid w:val="769F659A"/>
    <w:rsid w:val="76B620C0"/>
    <w:rsid w:val="76CB53B8"/>
    <w:rsid w:val="77046B81"/>
    <w:rsid w:val="77146904"/>
    <w:rsid w:val="771D661B"/>
    <w:rsid w:val="771F0F97"/>
    <w:rsid w:val="778D19E8"/>
    <w:rsid w:val="77C27E66"/>
    <w:rsid w:val="77F25B29"/>
    <w:rsid w:val="782235EB"/>
    <w:rsid w:val="78493A48"/>
    <w:rsid w:val="78511886"/>
    <w:rsid w:val="786D7E85"/>
    <w:rsid w:val="78782A0D"/>
    <w:rsid w:val="789855AA"/>
    <w:rsid w:val="789F5119"/>
    <w:rsid w:val="78C640F0"/>
    <w:rsid w:val="78EE1454"/>
    <w:rsid w:val="79224A47"/>
    <w:rsid w:val="79A2171F"/>
    <w:rsid w:val="79A252FF"/>
    <w:rsid w:val="79A80381"/>
    <w:rsid w:val="79BB4356"/>
    <w:rsid w:val="79D33056"/>
    <w:rsid w:val="79DF50CE"/>
    <w:rsid w:val="7A184713"/>
    <w:rsid w:val="7A396D3C"/>
    <w:rsid w:val="7A626407"/>
    <w:rsid w:val="7A7A7D68"/>
    <w:rsid w:val="7AC202F9"/>
    <w:rsid w:val="7AD42B4F"/>
    <w:rsid w:val="7B3E7526"/>
    <w:rsid w:val="7B664C28"/>
    <w:rsid w:val="7B8E6D49"/>
    <w:rsid w:val="7BA36132"/>
    <w:rsid w:val="7BE13AB3"/>
    <w:rsid w:val="7C0C6436"/>
    <w:rsid w:val="7C1B5FFE"/>
    <w:rsid w:val="7C26369C"/>
    <w:rsid w:val="7C282D74"/>
    <w:rsid w:val="7C34644E"/>
    <w:rsid w:val="7C490025"/>
    <w:rsid w:val="7C706675"/>
    <w:rsid w:val="7C89510B"/>
    <w:rsid w:val="7C9E5A24"/>
    <w:rsid w:val="7CAD3C62"/>
    <w:rsid w:val="7CB0616A"/>
    <w:rsid w:val="7CE00504"/>
    <w:rsid w:val="7CEB69C7"/>
    <w:rsid w:val="7D0E2C70"/>
    <w:rsid w:val="7D1F0C75"/>
    <w:rsid w:val="7D21072D"/>
    <w:rsid w:val="7D23440D"/>
    <w:rsid w:val="7D37341E"/>
    <w:rsid w:val="7D62117D"/>
    <w:rsid w:val="7DCA1F7D"/>
    <w:rsid w:val="7DCB3F94"/>
    <w:rsid w:val="7E027CFB"/>
    <w:rsid w:val="7E3E1EF2"/>
    <w:rsid w:val="7E4827AD"/>
    <w:rsid w:val="7E686F3E"/>
    <w:rsid w:val="7E823AFC"/>
    <w:rsid w:val="7E951513"/>
    <w:rsid w:val="7EF74FC9"/>
    <w:rsid w:val="7F3D5140"/>
    <w:rsid w:val="7F9062E5"/>
    <w:rsid w:val="7F933BD8"/>
    <w:rsid w:val="7F9C6122"/>
    <w:rsid w:val="7FAF7F8E"/>
    <w:rsid w:val="7FCF0FEF"/>
    <w:rsid w:val="7FDB2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9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99" w:name="annotation text"/>
    <w:lsdException w:qFormat="1" w:unhideWhenUsed="0" w:uiPriority="0" w:name="header"/>
    <w:lsdException w:qFormat="1" w:uiPriority="99" w:semiHidden="0" w:name="footer"/>
    <w:lsdException w:uiPriority="99" w:name="index heading"/>
    <w:lsdException w:qFormat="1" w:uiPriority="99" w:semiHidden="0"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unhideWhenUsed="0" w:uiPriority="99" w:semiHidden="0" w:name="Emphasis"/>
    <w:lsdException w:qFormat="1" w:uiPriority="99" w:name="Document Map"/>
    <w:lsdException w:uiPriority="99" w:name="Plain Text"/>
    <w:lsdException w:uiPriority="99" w:name="E-mail Signature"/>
    <w:lsdException w:qFormat="1"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76" w:lineRule="auto"/>
      <w:jc w:val="both"/>
    </w:pPr>
    <w:rPr>
      <w:rFonts w:ascii="Times New Roman" w:hAnsi="Times New Roman" w:eastAsia="宋体" w:cs="Times New Roman"/>
      <w:kern w:val="2"/>
      <w:sz w:val="21"/>
      <w:lang w:val="en-US" w:eastAsia="zh-CN" w:bidi="ar-SA"/>
    </w:rPr>
  </w:style>
  <w:style w:type="paragraph" w:styleId="2">
    <w:name w:val="heading 1"/>
    <w:basedOn w:val="1"/>
    <w:next w:val="3"/>
    <w:qFormat/>
    <w:uiPriority w:val="0"/>
    <w:pPr>
      <w:keepNext/>
      <w:keepLines/>
      <w:numPr>
        <w:ilvl w:val="0"/>
        <w:numId w:val="1"/>
      </w:numPr>
      <w:pBdr>
        <w:top w:val="single" w:color="auto" w:sz="12" w:space="3"/>
      </w:pBdr>
      <w:ind w:left="630"/>
      <w:outlineLvl w:val="0"/>
    </w:pPr>
    <w:rPr>
      <w:rFonts w:ascii="Arial" w:hAnsi="Arial" w:eastAsia="MS Mincho"/>
      <w:sz w:val="32"/>
    </w:rPr>
  </w:style>
  <w:style w:type="paragraph" w:styleId="4">
    <w:name w:val="heading 2"/>
    <w:basedOn w:val="1"/>
    <w:next w:val="1"/>
    <w:qFormat/>
    <w:uiPriority w:val="0"/>
    <w:pPr>
      <w:spacing w:before="180"/>
      <w:ind w:right="100" w:rightChars="100"/>
      <w:outlineLvl w:val="1"/>
    </w:pPr>
    <w:rPr>
      <w:sz w:val="28"/>
    </w:rPr>
  </w:style>
  <w:style w:type="paragraph" w:styleId="5">
    <w:name w:val="heading 3"/>
    <w:basedOn w:val="4"/>
    <w:next w:val="1"/>
    <w:qFormat/>
    <w:uiPriority w:val="0"/>
    <w:pPr>
      <w:spacing w:before="120"/>
      <w:outlineLvl w:val="2"/>
    </w:pPr>
    <w:rPr>
      <w:sz w:val="24"/>
    </w:rPr>
  </w:style>
  <w:style w:type="character" w:default="1" w:styleId="23">
    <w:name w:val="Default Paragraph Font"/>
    <w:semiHidden/>
    <w:unhideWhenUsed/>
    <w:uiPriority w:val="1"/>
  </w:style>
  <w:style w:type="table" w:default="1" w:styleId="21">
    <w:name w:val="Normal Table"/>
    <w:semiHidden/>
    <w:unhideWhenUsed/>
    <w:uiPriority w:val="99"/>
    <w:tblPr>
      <w:tblCellMar>
        <w:top w:w="0" w:type="dxa"/>
        <w:left w:w="108" w:type="dxa"/>
        <w:bottom w:w="0" w:type="dxa"/>
        <w:right w:w="108" w:type="dxa"/>
      </w:tblCellMar>
    </w:tblPr>
  </w:style>
  <w:style w:type="paragraph" w:customStyle="1" w:styleId="3">
    <w:name w:val="YJ--正文"/>
    <w:basedOn w:val="1"/>
    <w:qFormat/>
    <w:uiPriority w:val="0"/>
    <w:pPr>
      <w:spacing w:beforeLines="150" w:afterLines="100"/>
      <w:ind w:firstLine="1440" w:firstLineChars="200"/>
    </w:pPr>
    <w:rPr>
      <w:rFonts w:eastAsia="Times New Roman" w:cs="宋体"/>
    </w:rPr>
  </w:style>
  <w:style w:type="paragraph" w:styleId="6">
    <w:name w:val="caption"/>
    <w:basedOn w:val="1"/>
    <w:next w:val="1"/>
    <w:unhideWhenUsed/>
    <w:qFormat/>
    <w:uiPriority w:val="99"/>
    <w:pPr>
      <w:spacing w:line="240" w:lineRule="auto"/>
    </w:pPr>
    <w:rPr>
      <w:b/>
      <w:bCs/>
      <w:color w:val="4F81BD" w:themeColor="accent1"/>
      <w:sz w:val="18"/>
      <w:szCs w:val="18"/>
    </w:rPr>
  </w:style>
  <w:style w:type="paragraph" w:styleId="7">
    <w:name w:val="Document Map"/>
    <w:basedOn w:val="1"/>
    <w:link w:val="51"/>
    <w:semiHidden/>
    <w:unhideWhenUsed/>
    <w:qFormat/>
    <w:uiPriority w:val="99"/>
    <w:pPr>
      <w:spacing w:line="240" w:lineRule="auto"/>
    </w:pPr>
    <w:rPr>
      <w:rFonts w:ascii="Tahoma" w:hAnsi="Tahoma" w:cs="Tahoma"/>
      <w:sz w:val="16"/>
      <w:szCs w:val="16"/>
    </w:rPr>
  </w:style>
  <w:style w:type="paragraph" w:styleId="8">
    <w:name w:val="annotation text"/>
    <w:basedOn w:val="1"/>
    <w:link w:val="52"/>
    <w:semiHidden/>
    <w:unhideWhenUsed/>
    <w:qFormat/>
    <w:uiPriority w:val="99"/>
    <w:pPr>
      <w:jc w:val="left"/>
    </w:pPr>
  </w:style>
  <w:style w:type="paragraph" w:styleId="9">
    <w:name w:val="Body Text"/>
    <w:basedOn w:val="1"/>
    <w:unhideWhenUsed/>
    <w:qFormat/>
    <w:uiPriority w:val="0"/>
    <w:pPr>
      <w:widowControl w:val="0"/>
    </w:pPr>
    <w:rPr>
      <w:i/>
    </w:r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toc 3"/>
    <w:basedOn w:val="1"/>
    <w:next w:val="1"/>
    <w:unhideWhenUsed/>
    <w:qFormat/>
    <w:uiPriority w:val="99"/>
    <w:pPr>
      <w:adjustRightInd w:val="0"/>
      <w:ind w:left="1282" w:leftChars="400" w:hanging="442" w:hangingChars="200"/>
    </w:pPr>
    <w:rPr>
      <w:b/>
      <w:i/>
      <w:sz w:val="20"/>
    </w:rPr>
  </w:style>
  <w:style w:type="paragraph" w:styleId="13">
    <w:name w:val="Balloon Text"/>
    <w:basedOn w:val="1"/>
    <w:link w:val="50"/>
    <w:semiHidden/>
    <w:unhideWhenUsed/>
    <w:qFormat/>
    <w:uiPriority w:val="99"/>
    <w:pPr>
      <w:spacing w:line="240" w:lineRule="auto"/>
    </w:pPr>
    <w:rPr>
      <w:rFonts w:ascii="Tahoma" w:hAnsi="Tahoma" w:cs="Tahoma"/>
      <w:sz w:val="16"/>
      <w:szCs w:val="16"/>
    </w:rPr>
  </w:style>
  <w:style w:type="paragraph" w:styleId="14">
    <w:name w:val="footer"/>
    <w:basedOn w:val="1"/>
    <w:link w:val="43"/>
    <w:unhideWhenUsed/>
    <w:qFormat/>
    <w:uiPriority w:val="99"/>
    <w:pPr>
      <w:tabs>
        <w:tab w:val="center" w:pos="4153"/>
        <w:tab w:val="right" w:pos="8306"/>
      </w:tabs>
      <w:snapToGrid w:val="0"/>
      <w:jc w:val="left"/>
    </w:pPr>
    <w:rPr>
      <w:sz w:val="18"/>
      <w:szCs w:val="18"/>
    </w:rPr>
  </w:style>
  <w:style w:type="paragraph" w:styleId="15">
    <w:name w:val="header"/>
    <w:basedOn w:val="1"/>
    <w:link w:val="42"/>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table of figures"/>
    <w:basedOn w:val="1"/>
    <w:next w:val="1"/>
    <w:semiHidden/>
    <w:unhideWhenUsed/>
    <w:qFormat/>
    <w:uiPriority w:val="99"/>
    <w:pPr>
      <w:ind w:left="200" w:leftChars="200" w:hanging="200" w:hangingChars="200"/>
    </w:pPr>
  </w:style>
  <w:style w:type="paragraph" w:styleId="18">
    <w:name w:val="toc 2"/>
    <w:basedOn w:val="1"/>
    <w:next w:val="1"/>
    <w:unhideWhenUsed/>
    <w:qFormat/>
    <w:uiPriority w:val="39"/>
    <w:pPr>
      <w:spacing w:before="50" w:after="50"/>
      <w:ind w:left="862" w:leftChars="200"/>
    </w:pPr>
    <w:rPr>
      <w:b/>
      <w:i/>
      <w:sz w:val="20"/>
    </w:rPr>
  </w:style>
  <w:style w:type="paragraph" w:styleId="19">
    <w:name w:val="Normal (Web)"/>
    <w:basedOn w:val="1"/>
    <w:semiHidden/>
    <w:unhideWhenUsed/>
    <w:qFormat/>
    <w:uiPriority w:val="0"/>
    <w:pPr>
      <w:spacing w:beforeAutospacing="1" w:afterAutospacing="1"/>
      <w:jc w:val="left"/>
    </w:pPr>
    <w:rPr>
      <w:kern w:val="0"/>
      <w:sz w:val="24"/>
    </w:rPr>
  </w:style>
  <w:style w:type="paragraph" w:styleId="20">
    <w:name w:val="annotation subject"/>
    <w:basedOn w:val="8"/>
    <w:next w:val="8"/>
    <w:link w:val="53"/>
    <w:semiHidden/>
    <w:unhideWhenUsed/>
    <w:qFormat/>
    <w:uiPriority w:val="99"/>
    <w:pPr>
      <w:spacing w:line="240" w:lineRule="auto"/>
      <w:jc w:val="both"/>
    </w:pPr>
    <w:rPr>
      <w:b/>
      <w:bCs/>
      <w:sz w:val="20"/>
    </w:rPr>
  </w:style>
  <w:style w:type="table" w:styleId="22">
    <w:name w:val="Table Grid"/>
    <w:basedOn w:val="2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page number"/>
    <w:basedOn w:val="23"/>
    <w:semiHidden/>
    <w:qFormat/>
    <w:uiPriority w:val="0"/>
  </w:style>
  <w:style w:type="character" w:styleId="25">
    <w:name w:val="Hyperlink"/>
    <w:basedOn w:val="23"/>
    <w:unhideWhenUsed/>
    <w:qFormat/>
    <w:uiPriority w:val="99"/>
    <w:rPr>
      <w:color w:val="0000FF" w:themeColor="hyperlink"/>
      <w:u w:val="single"/>
    </w:rPr>
  </w:style>
  <w:style w:type="character" w:styleId="26">
    <w:name w:val="annotation reference"/>
    <w:qFormat/>
    <w:uiPriority w:val="0"/>
    <w:rPr>
      <w:sz w:val="16"/>
      <w:szCs w:val="16"/>
    </w:rPr>
  </w:style>
  <w:style w:type="paragraph" w:customStyle="1" w:styleId="27">
    <w:name w:val="YJ-Proposal"/>
    <w:basedOn w:val="1"/>
    <w:qFormat/>
    <w:uiPriority w:val="0"/>
    <w:pPr>
      <w:numPr>
        <w:ilvl w:val="0"/>
        <w:numId w:val="2"/>
      </w:numPr>
    </w:pPr>
    <w:rPr>
      <w:rFonts w:eastAsiaTheme="minorEastAsia"/>
      <w:b/>
      <w:bCs/>
      <w:i/>
      <w:iCs/>
      <w:sz w:val="20"/>
      <w:lang w:val="en-GB" w:eastAsia="en-US"/>
    </w:rPr>
  </w:style>
  <w:style w:type="paragraph" w:customStyle="1" w:styleId="28">
    <w:name w:val="YJ-Observation"/>
    <w:basedOn w:val="27"/>
    <w:qFormat/>
    <w:uiPriority w:val="0"/>
    <w:pPr>
      <w:numPr>
        <w:ilvl w:val="0"/>
        <w:numId w:val="3"/>
      </w:numPr>
      <w:tabs>
        <w:tab w:val="left" w:pos="420"/>
      </w:tabs>
    </w:pPr>
  </w:style>
  <w:style w:type="paragraph" w:customStyle="1" w:styleId="29">
    <w:name w:val="sub-proposal"/>
    <w:basedOn w:val="27"/>
    <w:next w:val="1"/>
    <w:qFormat/>
    <w:uiPriority w:val="0"/>
    <w:pPr>
      <w:numPr>
        <w:numId w:val="4"/>
      </w:numPr>
      <w:tabs>
        <w:tab w:val="left" w:pos="807"/>
      </w:tabs>
      <w:ind w:left="862" w:leftChars="200" w:hanging="442" w:hangingChars="200"/>
    </w:pPr>
  </w:style>
  <w:style w:type="paragraph" w:customStyle="1" w:styleId="30">
    <w:name w:val="sub-observation"/>
    <w:basedOn w:val="29"/>
    <w:next w:val="1"/>
    <w:qFormat/>
    <w:uiPriority w:val="0"/>
  </w:style>
  <w:style w:type="paragraph" w:customStyle="1" w:styleId="31">
    <w:name w:val="References"/>
    <w:basedOn w:val="1"/>
    <w:qFormat/>
    <w:uiPriority w:val="0"/>
    <w:pPr>
      <w:numPr>
        <w:ilvl w:val="0"/>
        <w:numId w:val="5"/>
      </w:numPr>
      <w:spacing w:after="60"/>
    </w:pPr>
    <w:rPr>
      <w:szCs w:val="16"/>
    </w:rPr>
  </w:style>
  <w:style w:type="paragraph" w:styleId="32">
    <w:name w:val="List Paragraph"/>
    <w:basedOn w:val="1"/>
    <w:link w:val="54"/>
    <w:qFormat/>
    <w:uiPriority w:val="34"/>
    <w:pPr>
      <w:spacing w:beforeLines="0" w:line="240" w:lineRule="auto"/>
      <w:ind w:left="720"/>
      <w:contextualSpacing/>
    </w:pPr>
    <w:rPr>
      <w:rFonts w:eastAsia="Times New Roman"/>
      <w:sz w:val="24"/>
      <w:szCs w:val="24"/>
    </w:rPr>
  </w:style>
  <w:style w:type="paragraph" w:customStyle="1" w:styleId="33">
    <w:name w:val="样式1"/>
    <w:basedOn w:val="1"/>
    <w:qFormat/>
    <w:uiPriority w:val="0"/>
  </w:style>
  <w:style w:type="paragraph" w:customStyle="1" w:styleId="34">
    <w:name w:val="3rd level proposal"/>
    <w:basedOn w:val="29"/>
    <w:next w:val="1"/>
    <w:qFormat/>
    <w:uiPriority w:val="0"/>
    <w:pPr>
      <w:numPr>
        <w:ilvl w:val="0"/>
        <w:numId w:val="6"/>
      </w:numPr>
      <w:ind w:left="1282" w:leftChars="400" w:hanging="442"/>
      <w:jc w:val="left"/>
    </w:pPr>
  </w:style>
  <w:style w:type="paragraph" w:customStyle="1" w:styleId="35">
    <w:name w:val="样式2"/>
    <w:basedOn w:val="1"/>
    <w:qFormat/>
    <w:uiPriority w:val="0"/>
  </w:style>
  <w:style w:type="paragraph" w:customStyle="1" w:styleId="36">
    <w:name w:val="3rd level observation"/>
    <w:basedOn w:val="30"/>
    <w:qFormat/>
    <w:uiPriority w:val="0"/>
    <w:pPr>
      <w:numPr>
        <w:ilvl w:val="0"/>
        <w:numId w:val="7"/>
      </w:numPr>
      <w:ind w:left="1282" w:leftChars="400" w:hanging="442"/>
    </w:pPr>
  </w:style>
  <w:style w:type="paragraph" w:customStyle="1" w:styleId="37">
    <w:name w:val="main text"/>
    <w:basedOn w:val="1"/>
    <w:qFormat/>
    <w:uiPriority w:val="0"/>
    <w:pPr>
      <w:spacing w:before="60" w:after="60" w:line="288" w:lineRule="auto"/>
      <w:ind w:firstLine="200" w:firstLineChars="200"/>
    </w:pPr>
    <w:rPr>
      <w:rFonts w:eastAsia="Malgun Gothic"/>
      <w:lang w:eastAsia="ko-KR"/>
    </w:rPr>
  </w:style>
  <w:style w:type="paragraph" w:customStyle="1" w:styleId="38">
    <w:name w:val="TH"/>
    <w:basedOn w:val="1"/>
    <w:qFormat/>
    <w:uiPriority w:val="0"/>
    <w:pPr>
      <w:keepNext/>
      <w:keepLines/>
      <w:spacing w:beforeLines="0" w:afterLines="0"/>
      <w:jc w:val="center"/>
    </w:pPr>
    <w:rPr>
      <w:rFonts w:ascii="Arial" w:hAnsi="Arial" w:eastAsia="Times New Roman" w:cs="Arial"/>
      <w:b/>
      <w:bCs/>
      <w:kern w:val="0"/>
      <w:sz w:val="24"/>
      <w:szCs w:val="24"/>
      <w:lang w:val="zh-CN" w:eastAsia="en-US"/>
    </w:rPr>
  </w:style>
  <w:style w:type="paragraph" w:customStyle="1" w:styleId="39">
    <w:name w:val="TAH"/>
    <w:basedOn w:val="40"/>
    <w:qFormat/>
    <w:uiPriority w:val="0"/>
    <w:rPr>
      <w:b/>
    </w:rPr>
  </w:style>
  <w:style w:type="paragraph" w:customStyle="1" w:styleId="40">
    <w:name w:val="TAC"/>
    <w:basedOn w:val="41"/>
    <w:qFormat/>
    <w:uiPriority w:val="0"/>
    <w:pPr>
      <w:spacing w:beforeLines="0" w:afterLines="0"/>
      <w:jc w:val="center"/>
    </w:pPr>
    <w:rPr>
      <w:rFonts w:eastAsia="Times New Roman" w:cs="Arial"/>
      <w:kern w:val="0"/>
      <w:szCs w:val="18"/>
      <w:lang w:val="zh-CN" w:eastAsia="en-US"/>
    </w:rPr>
  </w:style>
  <w:style w:type="paragraph" w:customStyle="1" w:styleId="41">
    <w:name w:val="TAL"/>
    <w:basedOn w:val="1"/>
    <w:qFormat/>
    <w:uiPriority w:val="0"/>
    <w:pPr>
      <w:keepNext/>
      <w:keepLines/>
    </w:pPr>
    <w:rPr>
      <w:rFonts w:ascii="Arial" w:hAnsi="Arial"/>
      <w:sz w:val="18"/>
    </w:rPr>
  </w:style>
  <w:style w:type="character" w:customStyle="1" w:styleId="42">
    <w:name w:val="页眉 Char"/>
    <w:basedOn w:val="23"/>
    <w:link w:val="15"/>
    <w:semiHidden/>
    <w:qFormat/>
    <w:uiPriority w:val="0"/>
    <w:rPr>
      <w:kern w:val="2"/>
      <w:sz w:val="21"/>
    </w:rPr>
  </w:style>
  <w:style w:type="character" w:customStyle="1" w:styleId="43">
    <w:name w:val="页脚 Char"/>
    <w:basedOn w:val="23"/>
    <w:link w:val="14"/>
    <w:qFormat/>
    <w:uiPriority w:val="99"/>
    <w:rPr>
      <w:kern w:val="2"/>
      <w:sz w:val="18"/>
      <w:szCs w:val="18"/>
    </w:rPr>
  </w:style>
  <w:style w:type="paragraph" w:customStyle="1" w:styleId="44">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Times New Roman" w:cs="Times New Roman"/>
      <w:sz w:val="16"/>
      <w:lang w:val="en-GB" w:eastAsia="en-GB" w:bidi="ar-SA"/>
    </w:rPr>
  </w:style>
  <w:style w:type="character" w:customStyle="1" w:styleId="45">
    <w:name w:val="colour"/>
    <w:basedOn w:val="23"/>
    <w:qFormat/>
    <w:uiPriority w:val="0"/>
  </w:style>
  <w:style w:type="paragraph" w:customStyle="1" w:styleId="46">
    <w:name w:val="B1"/>
    <w:basedOn w:val="11"/>
    <w:qFormat/>
    <w:uiPriority w:val="0"/>
  </w:style>
  <w:style w:type="paragraph" w:customStyle="1" w:styleId="47">
    <w:name w:val="B2"/>
    <w:basedOn w:val="10"/>
    <w:qFormat/>
    <w:uiPriority w:val="0"/>
  </w:style>
  <w:style w:type="character" w:customStyle="1" w:styleId="48">
    <w:name w:val="fontstyle01"/>
    <w:basedOn w:val="23"/>
    <w:qFormat/>
    <w:uiPriority w:val="0"/>
    <w:rPr>
      <w:rFonts w:hint="default" w:ascii="Times New Roman" w:hAnsi="Times New Roman" w:cs="Times New Roman"/>
      <w:i/>
      <w:iCs/>
      <w:color w:val="000000"/>
      <w:sz w:val="20"/>
      <w:szCs w:val="20"/>
    </w:rPr>
  </w:style>
  <w:style w:type="paragraph" w:customStyle="1" w:styleId="49">
    <w:name w:val="3GPP Normal Text"/>
    <w:basedOn w:val="9"/>
    <w:qFormat/>
    <w:uiPriority w:val="0"/>
    <w:rPr>
      <w:rFonts w:eastAsia="MS Mincho"/>
      <w:sz w:val="22"/>
    </w:rPr>
  </w:style>
  <w:style w:type="character" w:customStyle="1" w:styleId="50">
    <w:name w:val="批注框文本 Char"/>
    <w:basedOn w:val="23"/>
    <w:link w:val="13"/>
    <w:semiHidden/>
    <w:qFormat/>
    <w:uiPriority w:val="99"/>
    <w:rPr>
      <w:rFonts w:ascii="Tahoma" w:hAnsi="Tahoma" w:eastAsia="宋体" w:cs="Tahoma"/>
      <w:kern w:val="2"/>
      <w:sz w:val="16"/>
      <w:szCs w:val="16"/>
    </w:rPr>
  </w:style>
  <w:style w:type="character" w:customStyle="1" w:styleId="51">
    <w:name w:val="文档结构图 Char"/>
    <w:basedOn w:val="23"/>
    <w:link w:val="7"/>
    <w:semiHidden/>
    <w:qFormat/>
    <w:uiPriority w:val="99"/>
    <w:rPr>
      <w:rFonts w:ascii="Tahoma" w:hAnsi="Tahoma" w:eastAsia="宋体" w:cs="Tahoma"/>
      <w:kern w:val="2"/>
      <w:sz w:val="16"/>
      <w:szCs w:val="16"/>
    </w:rPr>
  </w:style>
  <w:style w:type="character" w:customStyle="1" w:styleId="52">
    <w:name w:val="批注文字 Char"/>
    <w:basedOn w:val="23"/>
    <w:link w:val="8"/>
    <w:semiHidden/>
    <w:qFormat/>
    <w:uiPriority w:val="99"/>
    <w:rPr>
      <w:rFonts w:eastAsia="宋体"/>
      <w:kern w:val="2"/>
      <w:sz w:val="21"/>
    </w:rPr>
  </w:style>
  <w:style w:type="character" w:customStyle="1" w:styleId="53">
    <w:name w:val="批注主题 Char"/>
    <w:basedOn w:val="52"/>
    <w:link w:val="20"/>
    <w:qFormat/>
    <w:uiPriority w:val="0"/>
    <w:rPr>
      <w:rFonts w:eastAsia="宋体"/>
      <w:kern w:val="2"/>
      <w:sz w:val="21"/>
    </w:rPr>
  </w:style>
  <w:style w:type="character" w:customStyle="1" w:styleId="54">
    <w:name w:val="列出段落 Char"/>
    <w:basedOn w:val="23"/>
    <w:link w:val="32"/>
    <w:qFormat/>
    <w:uiPriority w:val="11"/>
    <w:rPr>
      <w:rFonts w:eastAsia="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A0EEFC-92BA-467B-9F3E-FF83F183B1CB}">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9</Pages>
  <Words>3296</Words>
  <Characters>17533</Characters>
  <Lines>155</Lines>
  <Paragraphs>43</Paragraphs>
  <TotalTime>45</TotalTime>
  <ScaleCrop>false</ScaleCrop>
  <LinksUpToDate>false</LinksUpToDate>
  <CharactersWithSpaces>20705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2021-01-18T02:40:00Z</dcterms:created>
  <dc:creator>ZTE</dc:creator>
  <cp:lastModifiedBy>ZTE_xwm</cp:lastModifiedBy>
  <dcterms:modified xsi:type="dcterms:W3CDTF">2021-01-18T07:41:45Z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